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7131" w14:textId="77777777" w:rsidR="00C0472D" w:rsidRPr="00E804CD" w:rsidRDefault="009D4906" w:rsidP="00E804CD">
      <w:pPr>
        <w:pStyle w:val="ListParagraph"/>
        <w:spacing w:after="0"/>
        <w:rPr>
          <w:b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6F0CB" wp14:editId="74407AE7">
                <wp:simplePos x="0" y="0"/>
                <wp:positionH relativeFrom="column">
                  <wp:posOffset>3543300</wp:posOffset>
                </wp:positionH>
                <wp:positionV relativeFrom="paragraph">
                  <wp:posOffset>-161925</wp:posOffset>
                </wp:positionV>
                <wp:extent cx="2924175" cy="1847850"/>
                <wp:effectExtent l="0" t="0" r="9525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FD76E" w14:textId="77777777"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</w:rPr>
                              <w:t>J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авно 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комунално предузеће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</w:t>
                            </w:r>
                          </w:p>
                          <w:p w14:paraId="2DF8863B" w14:textId="77777777"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„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ВОДОВОД</w:t>
                            </w:r>
                            <w:r>
                              <w:rPr>
                                <w:b/>
                                <w:lang w:val="sr-Cyrl-CS"/>
                              </w:rPr>
                              <w:t>“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 БЕЗДАН</w:t>
                            </w:r>
                            <w:r w:rsidRPr="006F529B">
                              <w:rPr>
                                <w:b/>
                              </w:rPr>
                              <w:t xml:space="preserve">                                   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         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 xml:space="preserve">Сомборски пут бб 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Бездан</w:t>
                            </w:r>
                          </w:p>
                          <w:p w14:paraId="3242553C" w14:textId="77777777"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sr-Cyrl-CS"/>
                              </w:rPr>
                              <w:t>Тел.</w:t>
                            </w:r>
                            <w:r w:rsidRPr="006F529B">
                              <w:rPr>
                                <w:b/>
                                <w:lang w:val="sr-Cyrl-CS"/>
                              </w:rPr>
                              <w:t>025/810-369</w:t>
                            </w:r>
                          </w:p>
                          <w:p w14:paraId="35CCA36F" w14:textId="77777777"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ПИБ 100613555</w:t>
                            </w:r>
                          </w:p>
                          <w:p w14:paraId="06A69B7D" w14:textId="77777777"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Мат.бр.08189544</w:t>
                            </w:r>
                            <w:r w:rsidRPr="006F529B">
                              <w:rPr>
                                <w:b/>
                              </w:rPr>
                              <w:t xml:space="preserve">  </w:t>
                            </w:r>
                          </w:p>
                          <w:p w14:paraId="40A7CCCC" w14:textId="77777777"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CS"/>
                              </w:rPr>
                            </w:pPr>
                            <w:r w:rsidRPr="006F529B">
                              <w:rPr>
                                <w:b/>
                                <w:lang w:val="sr-Cyrl-CS"/>
                              </w:rPr>
                              <w:t>Ж.р. 200-2825680101040-80</w:t>
                            </w:r>
                          </w:p>
                          <w:p w14:paraId="00688568" w14:textId="77777777"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e-mail 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>:</w:t>
                            </w:r>
                            <w:hyperlink r:id="rId6" w:history="1">
                              <w:r w:rsidRPr="000D426D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  <w:p w14:paraId="44D28B59" w14:textId="77777777" w:rsidR="007C3D0F" w:rsidRPr="00A10750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  <w:r>
                              <w:rPr>
                                <w:b/>
                              </w:rPr>
                              <w:t>web</w:t>
                            </w:r>
                            <w:r>
                              <w:rPr>
                                <w:b/>
                                <w:lang w:val="sr-Cyrl-RS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www.vodovodbezdan.co.rs</w:t>
                            </w:r>
                          </w:p>
                          <w:p w14:paraId="5C38A162" w14:textId="77777777" w:rsidR="007C3D0F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  <w:lang w:val="sr-Cyrl-RS"/>
                              </w:rPr>
                            </w:pPr>
                          </w:p>
                          <w:p w14:paraId="039422D8" w14:textId="77777777" w:rsidR="007C3D0F" w:rsidRPr="00CC54E2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</w:t>
                            </w:r>
                          </w:p>
                          <w:p w14:paraId="65095DB5" w14:textId="77777777" w:rsidR="007C3D0F" w:rsidRPr="002919BE" w:rsidRDefault="007C3D0F" w:rsidP="002919BE">
                            <w:pPr>
                              <w:spacing w:after="0"/>
                              <w:ind w:left="170" w:right="567"/>
                              <w:rPr>
                                <w:b/>
                              </w:rPr>
                            </w:pP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7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  <w:r w:rsidRPr="006F529B">
                              <w:rPr>
                                <w:b/>
                              </w:rPr>
                              <w:t xml:space="preserve">                                                </w:t>
                            </w:r>
                            <w:r>
                              <w:rPr>
                                <w:b/>
                              </w:rPr>
                              <w:t xml:space="preserve">           </w:t>
                            </w:r>
                            <w:r w:rsidRPr="006F529B">
                              <w:rPr>
                                <w:b/>
                              </w:rPr>
                              <w:t xml:space="preserve">Email: </w:t>
                            </w:r>
                            <w:hyperlink r:id="rId8" w:history="1">
                              <w:r w:rsidRPr="006F529B">
                                <w:rPr>
                                  <w:rStyle w:val="Hyperlink"/>
                                  <w:b/>
                                </w:rPr>
                                <w:t>vodovodkom@mts.rs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6F0C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9pt;margin-top:-12.75pt;width:230.25pt;height:14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" stroked="f">
                <v:textbox>
                  <w:txbxContent>
                    <w:p w14:paraId="6CFFD76E" w14:textId="77777777"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>
                        <w:rPr>
                          <w:b/>
                        </w:rPr>
                        <w:t>J</w:t>
                      </w:r>
                      <w:r>
                        <w:rPr>
                          <w:b/>
                          <w:lang w:val="sr-Cyrl-RS"/>
                        </w:rPr>
                        <w:t xml:space="preserve">авно </w:t>
                      </w:r>
                      <w:r>
                        <w:rPr>
                          <w:b/>
                          <w:lang w:val="sr-Cyrl-CS"/>
                        </w:rPr>
                        <w:t>комунално предузеће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</w:t>
                      </w:r>
                    </w:p>
                    <w:p w14:paraId="2DF8863B" w14:textId="77777777"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„</w:t>
                      </w:r>
                      <w:r w:rsidRPr="006F529B">
                        <w:rPr>
                          <w:b/>
                          <w:lang w:val="sr-Cyrl-CS"/>
                        </w:rPr>
                        <w:t>ВОДОВОД</w:t>
                      </w:r>
                      <w:r>
                        <w:rPr>
                          <w:b/>
                          <w:lang w:val="sr-Cyrl-CS"/>
                        </w:rPr>
                        <w:t>“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 БЕЗДАН</w:t>
                      </w:r>
                      <w:r w:rsidRPr="006F529B">
                        <w:rPr>
                          <w:b/>
                        </w:rPr>
                        <w:t xml:space="preserve">                                                                                   </w:t>
                      </w:r>
                      <w:r>
                        <w:rPr>
                          <w:b/>
                        </w:rPr>
                        <w:t xml:space="preserve">                    </w:t>
                      </w:r>
                      <w:r w:rsidRPr="006F529B">
                        <w:rPr>
                          <w:b/>
                          <w:lang w:val="sr-Cyrl-CS"/>
                        </w:rPr>
                        <w:t xml:space="preserve">Сомборски пут бб </w:t>
                      </w:r>
                      <w:r>
                        <w:rPr>
                          <w:b/>
                        </w:rPr>
                        <w:t>,</w:t>
                      </w:r>
                      <w:r w:rsidRPr="006F529B">
                        <w:rPr>
                          <w:b/>
                          <w:lang w:val="sr-Cyrl-CS"/>
                        </w:rPr>
                        <w:t>Бездан</w:t>
                      </w:r>
                    </w:p>
                    <w:p w14:paraId="3242553C" w14:textId="77777777"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  <w:lang w:val="sr-Cyrl-CS"/>
                        </w:rPr>
                        <w:t>Тел.</w:t>
                      </w:r>
                      <w:r w:rsidRPr="006F529B">
                        <w:rPr>
                          <w:b/>
                          <w:lang w:val="sr-Cyrl-CS"/>
                        </w:rPr>
                        <w:t>025/810-369</w:t>
                      </w:r>
                    </w:p>
                    <w:p w14:paraId="35CCA36F" w14:textId="77777777"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ПИБ 100613555</w:t>
                      </w:r>
                    </w:p>
                    <w:p w14:paraId="06A69B7D" w14:textId="77777777"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Мат.бр.08189544</w:t>
                      </w:r>
                      <w:r w:rsidRPr="006F529B">
                        <w:rPr>
                          <w:b/>
                        </w:rPr>
                        <w:t xml:space="preserve">  </w:t>
                      </w:r>
                    </w:p>
                    <w:p w14:paraId="40A7CCCC" w14:textId="77777777"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CS"/>
                        </w:rPr>
                      </w:pPr>
                      <w:r w:rsidRPr="006F529B">
                        <w:rPr>
                          <w:b/>
                          <w:lang w:val="sr-Cyrl-CS"/>
                        </w:rPr>
                        <w:t>Ж.р. 200-2825680101040-80</w:t>
                      </w:r>
                    </w:p>
                    <w:p w14:paraId="00688568" w14:textId="77777777"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e-mail </w:t>
                      </w:r>
                      <w:r>
                        <w:rPr>
                          <w:b/>
                          <w:lang w:val="sr-Cyrl-RS"/>
                        </w:rPr>
                        <w:t>:</w:t>
                      </w:r>
                      <w:hyperlink r:id="rId9" w:history="1">
                        <w:r w:rsidRPr="000D426D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  <w:p w14:paraId="44D28B59" w14:textId="77777777" w:rsidR="007C3D0F" w:rsidRPr="00A10750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  <w:r>
                        <w:rPr>
                          <w:b/>
                        </w:rPr>
                        <w:t>web</w:t>
                      </w:r>
                      <w:r>
                        <w:rPr>
                          <w:b/>
                          <w:lang w:val="sr-Cyrl-RS"/>
                        </w:rPr>
                        <w:t xml:space="preserve">: </w:t>
                      </w:r>
                      <w:r>
                        <w:rPr>
                          <w:b/>
                        </w:rPr>
                        <w:t>www.vodovodbezdan.co.rs</w:t>
                      </w:r>
                    </w:p>
                    <w:p w14:paraId="5C38A162" w14:textId="77777777" w:rsidR="007C3D0F" w:rsidRDefault="007C3D0F" w:rsidP="002919BE">
                      <w:pPr>
                        <w:spacing w:after="0"/>
                        <w:ind w:left="170" w:right="567"/>
                        <w:rPr>
                          <w:b/>
                          <w:lang w:val="sr-Cyrl-RS"/>
                        </w:rPr>
                      </w:pPr>
                    </w:p>
                    <w:p w14:paraId="039422D8" w14:textId="77777777" w:rsidR="007C3D0F" w:rsidRPr="00CC54E2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</w:t>
                      </w:r>
                    </w:p>
                    <w:p w14:paraId="65095DB5" w14:textId="77777777" w:rsidR="007C3D0F" w:rsidRPr="002919BE" w:rsidRDefault="007C3D0F" w:rsidP="002919BE">
                      <w:pPr>
                        <w:spacing w:after="0"/>
                        <w:ind w:left="170" w:right="567"/>
                        <w:rPr>
                          <w:b/>
                        </w:rPr>
                      </w:pP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0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  <w:r w:rsidRPr="006F529B">
                        <w:rPr>
                          <w:b/>
                        </w:rPr>
                        <w:t xml:space="preserve">                                                </w:t>
                      </w:r>
                      <w:r>
                        <w:rPr>
                          <w:b/>
                        </w:rPr>
                        <w:t xml:space="preserve">           </w:t>
                      </w:r>
                      <w:r w:rsidRPr="006F529B">
                        <w:rPr>
                          <w:b/>
                        </w:rPr>
                        <w:t xml:space="preserve">Email: </w:t>
                      </w:r>
                      <w:hyperlink r:id="rId11" w:history="1">
                        <w:r w:rsidRPr="006F529B">
                          <w:rPr>
                            <w:rStyle w:val="Hyperlink"/>
                            <w:b/>
                          </w:rPr>
                          <w:t>vodovodkom@mts.rs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9A439D" w:rsidRPr="00E804CD">
        <w:rPr>
          <w:b/>
        </w:rPr>
        <w:tab/>
        <w:t xml:space="preserve">                                                                                                    </w:t>
      </w:r>
      <w:r w:rsidR="00CC54E2" w:rsidRPr="00E804CD">
        <w:rPr>
          <w:b/>
        </w:rPr>
        <w:t xml:space="preserve">                                                         </w:t>
      </w:r>
    </w:p>
    <w:p w14:paraId="26BD264A" w14:textId="77777777" w:rsidR="009A439D" w:rsidRPr="006F529B" w:rsidRDefault="00C0472D" w:rsidP="002919BE">
      <w:pPr>
        <w:spacing w:after="0"/>
        <w:ind w:left="170" w:right="567"/>
        <w:rPr>
          <w:b/>
          <w:lang w:val="sr-Cyrl-CS"/>
        </w:rPr>
      </w:pPr>
      <w:r>
        <w:rPr>
          <w:b/>
        </w:rPr>
        <w:t xml:space="preserve">                                           </w:t>
      </w:r>
      <w:r w:rsidR="002919BE">
        <w:rPr>
          <w:b/>
        </w:rPr>
        <w:t xml:space="preserve">                    </w:t>
      </w:r>
    </w:p>
    <w:p w14:paraId="4172B548" w14:textId="77777777" w:rsidR="009A439D" w:rsidRPr="006F529B" w:rsidRDefault="002919BE" w:rsidP="002919BE">
      <w:pPr>
        <w:spacing w:after="0"/>
        <w:ind w:left="567" w:right="567"/>
        <w:rPr>
          <w:b/>
          <w:lang w:val="sr-Cyrl-CS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68B7E3FB" wp14:editId="71B1FBF5">
            <wp:simplePos x="0" y="0"/>
            <wp:positionH relativeFrom="column">
              <wp:posOffset>447675</wp:posOffset>
            </wp:positionH>
            <wp:positionV relativeFrom="paragraph">
              <wp:posOffset>169545</wp:posOffset>
            </wp:positionV>
            <wp:extent cx="1581150" cy="581025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39D" w:rsidRPr="006F529B">
        <w:rPr>
          <w:b/>
        </w:rPr>
        <w:t xml:space="preserve">                                                                                   </w:t>
      </w:r>
      <w:r>
        <w:rPr>
          <w:b/>
        </w:rPr>
        <w:t xml:space="preserve">                    </w:t>
      </w:r>
    </w:p>
    <w:p w14:paraId="68A1612C" w14:textId="77777777" w:rsidR="009A439D" w:rsidRPr="006F529B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</w:t>
      </w:r>
    </w:p>
    <w:p w14:paraId="1219C2E8" w14:textId="77777777" w:rsidR="009A439D" w:rsidRPr="006F529B" w:rsidRDefault="006F529B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</w:t>
      </w:r>
      <w:r w:rsidR="00CC54E2">
        <w:rPr>
          <w:b/>
        </w:rPr>
        <w:t xml:space="preserve">                                                                               </w:t>
      </w:r>
      <w:r w:rsidR="002919BE">
        <w:rPr>
          <w:b/>
        </w:rPr>
        <w:t xml:space="preserve">                      </w:t>
      </w:r>
    </w:p>
    <w:p w14:paraId="015703AB" w14:textId="77777777" w:rsid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                                                                             </w:t>
      </w:r>
      <w:r w:rsidR="002919BE">
        <w:rPr>
          <w:b/>
        </w:rPr>
        <w:t xml:space="preserve">                     </w:t>
      </w:r>
    </w:p>
    <w:p w14:paraId="0234723E" w14:textId="77777777" w:rsidR="009A439D" w:rsidRPr="00CC54E2" w:rsidRDefault="009A439D" w:rsidP="002919BE">
      <w:pPr>
        <w:spacing w:after="0"/>
        <w:ind w:left="170" w:right="567"/>
        <w:rPr>
          <w:b/>
        </w:rPr>
      </w:pPr>
      <w:r w:rsidRPr="006F529B">
        <w:rPr>
          <w:b/>
        </w:rPr>
        <w:t xml:space="preserve">      </w:t>
      </w:r>
      <w:r w:rsidR="002919BE">
        <w:rPr>
          <w:b/>
        </w:rPr>
        <w:t xml:space="preserve">     </w:t>
      </w:r>
      <w:r w:rsidR="00CC54E2">
        <w:rPr>
          <w:b/>
        </w:rPr>
        <w:t xml:space="preserve"> </w:t>
      </w:r>
      <w:r w:rsidR="00F4091E">
        <w:rPr>
          <w:b/>
        </w:rPr>
        <w:t>J</w:t>
      </w:r>
      <w:r w:rsidR="00CC54E2">
        <w:rPr>
          <w:b/>
          <w:lang w:val="sr-Cyrl-CS"/>
        </w:rPr>
        <w:t>КП „ВОДОВОД“ БЕЗДАН</w:t>
      </w:r>
      <w:r w:rsidR="002919BE">
        <w:rPr>
          <w:b/>
        </w:rPr>
        <w:t xml:space="preserve">    </w:t>
      </w:r>
    </w:p>
    <w:p w14:paraId="310F7411" w14:textId="77777777" w:rsidR="009A439D" w:rsidRDefault="009A439D" w:rsidP="002919BE">
      <w:pPr>
        <w:spacing w:after="0"/>
        <w:ind w:left="170" w:right="567"/>
        <w:rPr>
          <w:b/>
          <w:lang w:val="sr-Cyrl-CS"/>
        </w:rPr>
      </w:pPr>
      <w:r w:rsidRPr="006F529B">
        <w:rPr>
          <w:b/>
        </w:rPr>
        <w:t xml:space="preserve">                                                   </w:t>
      </w:r>
      <w:r w:rsidR="002919BE">
        <w:rPr>
          <w:b/>
        </w:rPr>
        <w:t xml:space="preserve">          </w:t>
      </w:r>
    </w:p>
    <w:p w14:paraId="38E4705A" w14:textId="77777777" w:rsidR="002919BE" w:rsidRDefault="009D4906" w:rsidP="008365F6">
      <w:pPr>
        <w:spacing w:after="0"/>
        <w:ind w:left="567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BD5CC" wp14:editId="4AE5CD3F">
                <wp:simplePos x="0" y="0"/>
                <wp:positionH relativeFrom="column">
                  <wp:posOffset>9525</wp:posOffset>
                </wp:positionH>
                <wp:positionV relativeFrom="paragraph">
                  <wp:posOffset>116840</wp:posOffset>
                </wp:positionV>
                <wp:extent cx="6315075" cy="0"/>
                <wp:effectExtent l="0" t="0" r="95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D53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2pt;width:49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"/>
            </w:pict>
          </mc:Fallback>
        </mc:AlternateContent>
      </w:r>
      <w:r w:rsidR="001C60C2">
        <w:rPr>
          <w:b/>
        </w:rPr>
        <w:t xml:space="preserve">     </w:t>
      </w:r>
    </w:p>
    <w:p w14:paraId="2EB6F26B" w14:textId="62E454E2" w:rsidR="00A925A7" w:rsidRDefault="00F457F9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Broj</w:t>
      </w:r>
      <w:r w:rsidR="008860D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 xml:space="preserve">: </w:t>
      </w:r>
      <w:r w:rsidR="0049696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289/</w:t>
      </w:r>
      <w:r w:rsidR="008860D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20</w:t>
      </w:r>
      <w:r w:rsidR="0049696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23</w:t>
      </w:r>
    </w:p>
    <w:p w14:paraId="3B7EBA34" w14:textId="02D0E2FB" w:rsidR="008860DF" w:rsidRPr="008860DF" w:rsidRDefault="00F457F9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Dana</w:t>
      </w:r>
      <w:r w:rsidR="008860D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:</w:t>
      </w:r>
      <w:r w:rsidR="0049696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28</w:t>
      </w:r>
      <w:r w:rsidR="00F36167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sr-Latn-RS" w:eastAsia="sr-Latn-CS"/>
        </w:rPr>
        <w:t>1</w:t>
      </w:r>
      <w:r w:rsidR="008860DF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.20</w:t>
      </w:r>
      <w:r w:rsidR="00496968">
        <w:rPr>
          <w:rFonts w:ascii="Times New Roman" w:eastAsia="Times New Roman" w:hAnsi="Times New Roman" w:cs="Times New Roman"/>
          <w:sz w:val="24"/>
          <w:szCs w:val="24"/>
          <w:lang w:val="sr-Cyrl-RS" w:eastAsia="sr-Latn-CS"/>
        </w:rPr>
        <w:t>23.</w:t>
      </w:r>
    </w:p>
    <w:p w14:paraId="07BA33BC" w14:textId="77777777" w:rsidR="006A25C9" w:rsidRDefault="006A25C9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0D5F7AC8" w14:textId="77777777" w:rsidR="006A25C9" w:rsidRDefault="006A25C9" w:rsidP="00A1075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14:paraId="22F60913" w14:textId="77777777" w:rsidR="00F457F9" w:rsidRPr="0081059E" w:rsidRDefault="00F457F9" w:rsidP="00F457F9">
      <w:pPr>
        <w:spacing w:after="80" w:line="240" w:lineRule="auto"/>
        <w:ind w:firstLine="709"/>
        <w:rPr>
          <w:rFonts w:ascii="BatangChe" w:eastAsia="BatangChe" w:hAnsi="BatangChe" w:cstheme="minorHAnsi"/>
          <w:sz w:val="18"/>
          <w:szCs w:val="20"/>
        </w:rPr>
      </w:pPr>
      <w:r w:rsidRPr="0081059E">
        <w:rPr>
          <w:rFonts w:ascii="BatangChe" w:eastAsia="BatangChe" w:hAnsi="BatangChe" w:cstheme="minorHAnsi"/>
          <w:sz w:val="18"/>
          <w:szCs w:val="20"/>
        </w:rPr>
        <w:t xml:space="preserve">KORISNIK JAVNIH SREDSTAVA – </w:t>
      </w:r>
      <w:r>
        <w:rPr>
          <w:rFonts w:ascii="BatangChe" w:eastAsia="BatangChe" w:hAnsi="BatangChe" w:cstheme="minorHAnsi"/>
          <w:sz w:val="18"/>
          <w:szCs w:val="20"/>
        </w:rPr>
        <w:t>JKP “VODOVOD”  BEZDAN</w:t>
      </w:r>
    </w:p>
    <w:p w14:paraId="53C6DD24" w14:textId="77777777" w:rsidR="00F457F9" w:rsidRPr="0081059E" w:rsidRDefault="00F457F9" w:rsidP="00F457F9">
      <w:pPr>
        <w:spacing w:after="80" w:line="240" w:lineRule="auto"/>
        <w:ind w:firstLine="709"/>
        <w:rPr>
          <w:rFonts w:ascii="BatangChe" w:eastAsia="BatangChe" w:hAnsi="BatangChe" w:cstheme="minorHAnsi"/>
          <w:sz w:val="18"/>
          <w:szCs w:val="20"/>
        </w:rPr>
      </w:pPr>
      <w:r w:rsidRPr="0081059E">
        <w:rPr>
          <w:rFonts w:ascii="BatangChe" w:eastAsia="BatangChe" w:hAnsi="BatangChe" w:cstheme="minorHAnsi"/>
          <w:sz w:val="18"/>
          <w:szCs w:val="20"/>
        </w:rPr>
        <w:t xml:space="preserve">SEDIŠTE KORISNIKA </w:t>
      </w:r>
      <w:r>
        <w:rPr>
          <w:rFonts w:ascii="BatangChe" w:eastAsia="BatangChe" w:hAnsi="BatangChe" w:cstheme="minorHAnsi"/>
          <w:sz w:val="18"/>
          <w:szCs w:val="20"/>
        </w:rPr>
        <w:t>: BEZDAN, SOMBORSKI PUT BB</w:t>
      </w:r>
    </w:p>
    <w:p w14:paraId="0F1E939C" w14:textId="6B17416F" w:rsidR="00F457F9" w:rsidRPr="0081059E" w:rsidRDefault="00F457F9" w:rsidP="00F457F9">
      <w:pPr>
        <w:spacing w:after="80" w:line="240" w:lineRule="auto"/>
        <w:ind w:firstLine="709"/>
        <w:rPr>
          <w:rFonts w:ascii="BatangChe" w:eastAsia="BatangChe" w:hAnsi="BatangChe" w:cstheme="minorHAnsi"/>
          <w:sz w:val="18"/>
          <w:szCs w:val="20"/>
        </w:rPr>
      </w:pPr>
      <w:r w:rsidRPr="0081059E">
        <w:rPr>
          <w:rFonts w:ascii="BatangChe" w:eastAsia="BatangChe" w:hAnsi="BatangChe" w:cstheme="minorHAnsi"/>
          <w:sz w:val="18"/>
          <w:szCs w:val="20"/>
        </w:rPr>
        <w:t xml:space="preserve">DOKUMENT: </w:t>
      </w:r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STRATEGIJA </w:t>
      </w:r>
      <w:r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r w:rsidRPr="0081059E">
        <w:rPr>
          <w:rFonts w:ascii="BatangChe" w:eastAsia="BatangChe" w:hAnsi="BatangChe" w:cstheme="minorHAnsi"/>
          <w:b/>
          <w:sz w:val="18"/>
          <w:szCs w:val="20"/>
        </w:rPr>
        <w:t>UPRAVLJANJA</w:t>
      </w:r>
      <w:r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RIZICIMA</w:t>
      </w:r>
      <w:r>
        <w:rPr>
          <w:rFonts w:ascii="BatangChe" w:eastAsia="BatangChe" w:hAnsi="BatangChe" w:cstheme="minorHAnsi"/>
          <w:b/>
          <w:sz w:val="18"/>
          <w:szCs w:val="20"/>
        </w:rPr>
        <w:t xml:space="preserve">  ZA  PERIOD  20</w:t>
      </w:r>
      <w:r w:rsidR="00126700">
        <w:rPr>
          <w:rFonts w:ascii="BatangChe" w:eastAsia="BatangChe" w:hAnsi="BatangChe" w:cstheme="minorHAnsi"/>
          <w:b/>
          <w:sz w:val="18"/>
          <w:szCs w:val="20"/>
        </w:rPr>
        <w:t>23</w:t>
      </w:r>
      <w:r>
        <w:rPr>
          <w:rFonts w:ascii="BatangChe" w:eastAsia="BatangChe" w:hAnsi="BatangChe" w:cstheme="minorHAnsi"/>
          <w:b/>
          <w:sz w:val="18"/>
          <w:szCs w:val="20"/>
        </w:rPr>
        <w:t>-20</w:t>
      </w:r>
      <w:r w:rsidR="00126700">
        <w:rPr>
          <w:rFonts w:ascii="BatangChe" w:eastAsia="BatangChe" w:hAnsi="BatangChe" w:cstheme="minorHAnsi"/>
          <w:b/>
          <w:sz w:val="18"/>
          <w:szCs w:val="20"/>
        </w:rPr>
        <w:t>28</w:t>
      </w:r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GODINA</w:t>
      </w:r>
    </w:p>
    <w:p w14:paraId="23117FDF" w14:textId="77777777" w:rsidR="00F457F9" w:rsidRPr="0081059E" w:rsidRDefault="00F457F9" w:rsidP="00F457F9">
      <w:pPr>
        <w:spacing w:after="80" w:line="240" w:lineRule="auto"/>
        <w:ind w:firstLine="709"/>
        <w:rPr>
          <w:rFonts w:ascii="BatangChe" w:eastAsia="BatangChe" w:hAnsi="BatangChe" w:cstheme="minorHAnsi"/>
          <w:sz w:val="18"/>
          <w:szCs w:val="20"/>
        </w:rPr>
      </w:pPr>
      <w:r w:rsidRPr="0081059E">
        <w:rPr>
          <w:rFonts w:ascii="BatangChe" w:eastAsia="BatangChe" w:hAnsi="BatangChe" w:cstheme="minorHAnsi"/>
          <w:sz w:val="18"/>
          <w:szCs w:val="20"/>
        </w:rPr>
        <w:t xml:space="preserve">ORGAN KOJI DONOSI: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direktor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Kubatov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Dejan,dipl.in.teh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>.</w:t>
      </w:r>
    </w:p>
    <w:p w14:paraId="71634A54" w14:textId="77777777" w:rsidR="00F457F9" w:rsidRPr="0081059E" w:rsidRDefault="00F457F9" w:rsidP="00F457F9">
      <w:pPr>
        <w:spacing w:after="60" w:line="240" w:lineRule="auto"/>
        <w:ind w:firstLine="708"/>
        <w:jc w:val="both"/>
        <w:rPr>
          <w:rFonts w:ascii="BatangChe" w:eastAsia="BatangChe" w:hAnsi="BatangChe" w:cstheme="minorHAnsi"/>
          <w:sz w:val="18"/>
          <w:szCs w:val="20"/>
        </w:rPr>
      </w:pPr>
      <w:r w:rsidRPr="0081059E">
        <w:rPr>
          <w:rFonts w:ascii="BatangChe" w:eastAsia="BatangChe" w:hAnsi="BatangChe" w:cstheme="minorHAnsi"/>
          <w:sz w:val="18"/>
          <w:szCs w:val="20"/>
        </w:rPr>
        <w:t>ZAKONSKI OSNOV:</w:t>
      </w:r>
    </w:p>
    <w:p w14:paraId="09275AD3" w14:textId="601A2B2E" w:rsidR="00F457F9" w:rsidRPr="00484245" w:rsidRDefault="00F457F9" w:rsidP="00F457F9">
      <w:pPr>
        <w:pStyle w:val="ListParagraph"/>
        <w:numPr>
          <w:ilvl w:val="0"/>
          <w:numId w:val="27"/>
        </w:numPr>
        <w:spacing w:after="60" w:line="240" w:lineRule="auto"/>
        <w:contextualSpacing w:val="0"/>
        <w:jc w:val="both"/>
        <w:rPr>
          <w:rFonts w:ascii="BatangChe" w:eastAsia="BatangChe" w:hAnsi="BatangChe" w:cstheme="minorHAnsi"/>
          <w:bCs/>
          <w:sz w:val="18"/>
          <w:szCs w:val="20"/>
        </w:rPr>
      </w:pP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Zakon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o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budžetskom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sistemu</w:t>
      </w:r>
      <w:proofErr w:type="spellEnd"/>
      <w:r w:rsidRPr="0081059E">
        <w:rPr>
          <w:rFonts w:ascii="BatangChe" w:eastAsia="BatangChe" w:hAnsi="BatangChe" w:cstheme="minorHAnsi"/>
          <w:b/>
          <w:bCs/>
          <w:sz w:val="18"/>
          <w:szCs w:val="20"/>
        </w:rPr>
        <w:t xml:space="preserve"> </w:t>
      </w:r>
      <w:r w:rsidRPr="0081059E">
        <w:rPr>
          <w:rFonts w:ascii="BatangChe" w:eastAsia="BatangChe" w:hAnsi="BatangChe" w:cstheme="minorHAnsi"/>
          <w:bCs/>
          <w:sz w:val="18"/>
          <w:szCs w:val="20"/>
        </w:rPr>
        <w:t>("</w:t>
      </w:r>
      <w:proofErr w:type="spellStart"/>
      <w:r w:rsidRPr="0081059E">
        <w:rPr>
          <w:rFonts w:ascii="BatangChe" w:eastAsia="BatangChe" w:hAnsi="BatangChe" w:cstheme="minorHAnsi"/>
          <w:bCs/>
          <w:sz w:val="18"/>
          <w:szCs w:val="20"/>
        </w:rPr>
        <w:t>Službeni</w:t>
      </w:r>
      <w:proofErr w:type="spellEnd"/>
      <w:r w:rsidRPr="0081059E">
        <w:rPr>
          <w:rFonts w:ascii="BatangChe" w:eastAsia="BatangChe" w:hAnsi="BatangChe" w:cstheme="minorHAnsi"/>
          <w:bCs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Cs/>
          <w:sz w:val="18"/>
          <w:szCs w:val="20"/>
        </w:rPr>
        <w:t>glasnik</w:t>
      </w:r>
      <w:proofErr w:type="spellEnd"/>
      <w:r w:rsidRPr="0081059E">
        <w:rPr>
          <w:rFonts w:ascii="BatangChe" w:eastAsia="BatangChe" w:hAnsi="BatangChe" w:cstheme="minorHAnsi"/>
          <w:bCs/>
          <w:sz w:val="18"/>
          <w:szCs w:val="20"/>
        </w:rPr>
        <w:t xml:space="preserve"> RS", br. 54/2009, 73/2010, 101/2010, 101/2011, 93/2012, 62/2013, 63/2013 - </w:t>
      </w:r>
      <w:proofErr w:type="spellStart"/>
      <w:r w:rsidRPr="0081059E">
        <w:rPr>
          <w:rFonts w:ascii="BatangChe" w:eastAsia="BatangChe" w:hAnsi="BatangChe" w:cstheme="minorHAnsi"/>
          <w:bCs/>
          <w:sz w:val="18"/>
          <w:szCs w:val="20"/>
        </w:rPr>
        <w:t>ispr</w:t>
      </w:r>
      <w:proofErr w:type="spellEnd"/>
      <w:r w:rsidRPr="0081059E">
        <w:rPr>
          <w:rFonts w:ascii="BatangChe" w:eastAsia="BatangChe" w:hAnsi="BatangChe" w:cstheme="minorHAnsi"/>
          <w:bCs/>
          <w:sz w:val="18"/>
          <w:szCs w:val="20"/>
        </w:rPr>
        <w:t>., 108/2013,</w:t>
      </w:r>
      <w:r>
        <w:rPr>
          <w:rFonts w:ascii="BatangChe" w:eastAsia="BatangChe" w:hAnsi="BatangChe" w:cstheme="minorHAnsi"/>
          <w:bCs/>
          <w:sz w:val="18"/>
          <w:szCs w:val="20"/>
        </w:rPr>
        <w:t xml:space="preserve"> 142/2014, 68/2015 - dr. </w:t>
      </w:r>
      <w:proofErr w:type="spellStart"/>
      <w:r>
        <w:rPr>
          <w:rFonts w:ascii="BatangChe" w:eastAsia="BatangChe" w:hAnsi="BatangChe" w:cstheme="minorHAnsi"/>
          <w:bCs/>
          <w:sz w:val="18"/>
          <w:szCs w:val="20"/>
        </w:rPr>
        <w:t>zakon</w:t>
      </w:r>
      <w:proofErr w:type="spellEnd"/>
      <w:r>
        <w:rPr>
          <w:rFonts w:ascii="BatangChe" w:eastAsia="BatangChe" w:hAnsi="BatangChe" w:cstheme="minorHAnsi"/>
          <w:bCs/>
          <w:sz w:val="18"/>
          <w:szCs w:val="20"/>
        </w:rPr>
        <w:t>,</w:t>
      </w:r>
      <w:r w:rsidRPr="0081059E">
        <w:rPr>
          <w:rFonts w:ascii="BatangChe" w:eastAsia="BatangChe" w:hAnsi="BatangChe" w:cstheme="minorHAnsi"/>
          <w:bCs/>
          <w:sz w:val="18"/>
          <w:szCs w:val="20"/>
        </w:rPr>
        <w:t xml:space="preserve"> 103/2015</w:t>
      </w:r>
      <w:r w:rsidRPr="00484245">
        <w:rPr>
          <w:rFonts w:ascii="BatangChe" w:eastAsia="BatangChe" w:hAnsi="BatangChe" w:cstheme="minorHAnsi"/>
          <w:bCs/>
          <w:sz w:val="18"/>
          <w:szCs w:val="20"/>
        </w:rPr>
        <w:t>,99/2016</w:t>
      </w:r>
      <w:r w:rsidR="00126700">
        <w:rPr>
          <w:rFonts w:ascii="BatangChe" w:eastAsia="BatangChe" w:hAnsi="BatangChe" w:cstheme="minorHAnsi"/>
          <w:bCs/>
          <w:sz w:val="18"/>
          <w:szCs w:val="20"/>
        </w:rPr>
        <w:t xml:space="preserve">, </w:t>
      </w:r>
      <w:r w:rsidRPr="00484245">
        <w:rPr>
          <w:rFonts w:ascii="BatangChe" w:eastAsia="BatangChe" w:hAnsi="BatangChe" w:cstheme="minorHAnsi"/>
          <w:bCs/>
          <w:sz w:val="18"/>
          <w:szCs w:val="20"/>
        </w:rPr>
        <w:t>113/2017</w:t>
      </w:r>
      <w:r w:rsidR="00126700">
        <w:rPr>
          <w:rFonts w:ascii="BatangChe" w:eastAsia="BatangChe" w:hAnsi="BatangChe" w:cstheme="minorHAnsi"/>
          <w:bCs/>
          <w:sz w:val="18"/>
          <w:szCs w:val="20"/>
        </w:rPr>
        <w:t>,95/2018,31/2019,72/2019,149/2020,118/2021,138/2022,118/2021,92/2023</w:t>
      </w:r>
    </w:p>
    <w:p w14:paraId="45D4101E" w14:textId="28A5A056" w:rsidR="00F457F9" w:rsidRPr="0081059E" w:rsidRDefault="00F457F9" w:rsidP="00F457F9">
      <w:pPr>
        <w:pStyle w:val="ListParagraph"/>
        <w:numPr>
          <w:ilvl w:val="0"/>
          <w:numId w:val="27"/>
        </w:numPr>
        <w:spacing w:after="60" w:line="240" w:lineRule="auto"/>
        <w:contextualSpacing w:val="0"/>
        <w:rPr>
          <w:rFonts w:ascii="BatangChe" w:eastAsia="BatangChe" w:hAnsi="BatangChe" w:cstheme="minorHAnsi"/>
          <w:sz w:val="18"/>
          <w:szCs w:val="20"/>
        </w:rPr>
      </w:pP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Pravilnik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o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zajedničkim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kriterijumima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i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standardima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za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uspostavljanje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,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funkcionisanje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i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izveštavanje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o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sistemu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finansijskog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upravljanja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i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kontrole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u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javnom</w:t>
      </w:r>
      <w:proofErr w:type="spellEnd"/>
      <w:r w:rsidRPr="0081059E">
        <w:rPr>
          <w:rFonts w:ascii="BatangChe" w:eastAsia="BatangChe" w:hAnsi="BatangChe" w:cstheme="minorHAnsi"/>
          <w:b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b/>
          <w:sz w:val="18"/>
          <w:szCs w:val="20"/>
        </w:rPr>
        <w:t>sektoru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("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Službeni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glasnik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RS", br</w:t>
      </w:r>
      <w:r w:rsidR="00126700">
        <w:rPr>
          <w:rFonts w:ascii="BatangChe" w:eastAsia="BatangChe" w:hAnsi="BatangChe" w:cstheme="minorHAnsi"/>
          <w:sz w:val="18"/>
          <w:szCs w:val="20"/>
        </w:rPr>
        <w:t>.  89/2019)</w:t>
      </w:r>
    </w:p>
    <w:p w14:paraId="737B22F7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after="0" w:line="240" w:lineRule="auto"/>
        <w:contextualSpacing w:val="0"/>
        <w:rPr>
          <w:rFonts w:ascii="BatangChe" w:eastAsia="BatangChe" w:hAnsi="BatangChe" w:cstheme="minorHAnsi"/>
          <w:sz w:val="18"/>
          <w:szCs w:val="20"/>
        </w:rPr>
      </w:pP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Statut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korisnika</w:t>
      </w:r>
      <w:proofErr w:type="spellEnd"/>
    </w:p>
    <w:p w14:paraId="55F9564A" w14:textId="77777777" w:rsidR="00F457F9" w:rsidRPr="0081059E" w:rsidRDefault="00F457F9" w:rsidP="00F457F9">
      <w:pPr>
        <w:spacing w:after="0" w:line="240" w:lineRule="auto"/>
        <w:ind w:left="708"/>
        <w:rPr>
          <w:rFonts w:ascii="BatangChe" w:eastAsia="BatangChe" w:hAnsi="BatangChe" w:cstheme="minorHAnsi"/>
          <w:sz w:val="18"/>
          <w:szCs w:val="20"/>
        </w:rPr>
      </w:pPr>
    </w:p>
    <w:p w14:paraId="597038C3" w14:textId="29B508BF" w:rsidR="00F457F9" w:rsidRPr="0081059E" w:rsidRDefault="00F457F9" w:rsidP="00F457F9">
      <w:pPr>
        <w:spacing w:after="0" w:line="240" w:lineRule="auto"/>
        <w:ind w:left="708"/>
        <w:jc w:val="both"/>
        <w:rPr>
          <w:rFonts w:ascii="BatangChe" w:eastAsia="BatangChe" w:hAnsi="BatangChe" w:cstheme="minorHAnsi"/>
          <w:sz w:val="18"/>
          <w:szCs w:val="20"/>
        </w:rPr>
      </w:pPr>
      <w:r w:rsidRPr="0081059E">
        <w:rPr>
          <w:rFonts w:ascii="BatangChe" w:eastAsia="BatangChe" w:hAnsi="BatangChe" w:cstheme="minorHAnsi"/>
          <w:sz w:val="18"/>
          <w:szCs w:val="20"/>
        </w:rPr>
        <w:t xml:space="preserve">NOSILAC IZRADE DOKUMENTA: </w:t>
      </w:r>
      <w:r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odgovorno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 xml:space="preserve"> lice za FUK –Pest </w:t>
      </w:r>
      <w:proofErr w:type="spellStart"/>
      <w:r w:rsidR="00126700">
        <w:rPr>
          <w:rFonts w:ascii="BatangChe" w:eastAsia="BatangChe" w:hAnsi="BatangChe" w:cstheme="minorHAnsi"/>
          <w:sz w:val="18"/>
          <w:szCs w:val="20"/>
        </w:rPr>
        <w:t>S</w:t>
      </w:r>
      <w:r>
        <w:rPr>
          <w:rFonts w:ascii="BatangChe" w:eastAsia="BatangChe" w:hAnsi="BatangChe" w:cstheme="minorHAnsi"/>
          <w:sz w:val="18"/>
          <w:szCs w:val="20"/>
        </w:rPr>
        <w:t>lavica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 xml:space="preserve">,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dipl.pravnik</w:t>
      </w:r>
      <w:proofErr w:type="spellEnd"/>
    </w:p>
    <w:p w14:paraId="413E6F8D" w14:textId="77777777" w:rsidR="00F457F9" w:rsidRPr="0081059E" w:rsidRDefault="00F457F9" w:rsidP="00F457F9">
      <w:pPr>
        <w:spacing w:after="0" w:line="240" w:lineRule="auto"/>
        <w:ind w:left="708"/>
        <w:rPr>
          <w:rFonts w:ascii="BatangChe" w:eastAsia="BatangChe" w:hAnsi="BatangChe" w:cstheme="minorHAnsi"/>
          <w:sz w:val="18"/>
          <w:szCs w:val="20"/>
        </w:rPr>
      </w:pPr>
    </w:p>
    <w:p w14:paraId="134A3E7B" w14:textId="77777777" w:rsidR="00F457F9" w:rsidRPr="0081059E" w:rsidRDefault="00F457F9" w:rsidP="00F457F9">
      <w:pPr>
        <w:spacing w:after="60" w:line="240" w:lineRule="auto"/>
        <w:ind w:left="709"/>
        <w:rPr>
          <w:rFonts w:ascii="BatangChe" w:eastAsia="BatangChe" w:hAnsi="BatangChe" w:cstheme="minorHAnsi"/>
          <w:sz w:val="18"/>
          <w:szCs w:val="20"/>
        </w:rPr>
      </w:pPr>
      <w:r w:rsidRPr="0081059E">
        <w:rPr>
          <w:rFonts w:ascii="BatangChe" w:eastAsia="BatangChe" w:hAnsi="BatangChe" w:cstheme="minorHAnsi"/>
          <w:sz w:val="18"/>
          <w:szCs w:val="20"/>
        </w:rPr>
        <w:t>RADNA GRUPA ZA UPRAVLJANJE RIZIKOM</w:t>
      </w:r>
    </w:p>
    <w:p w14:paraId="224BA863" w14:textId="77777777" w:rsidR="00F457F9" w:rsidRPr="0081059E" w:rsidRDefault="00F457F9" w:rsidP="00F457F9">
      <w:pPr>
        <w:spacing w:after="60" w:line="240" w:lineRule="auto"/>
        <w:ind w:left="709"/>
        <w:rPr>
          <w:rFonts w:ascii="BatangChe" w:eastAsia="BatangChe" w:hAnsi="BatangChe" w:cstheme="minorHAnsi"/>
          <w:sz w:val="18"/>
          <w:szCs w:val="20"/>
        </w:rPr>
      </w:pPr>
      <w:r>
        <w:rPr>
          <w:rFonts w:ascii="BatangChe" w:eastAsia="BatangChe" w:hAnsi="BatangChe" w:cstheme="minorHAnsi"/>
          <w:sz w:val="18"/>
          <w:szCs w:val="20"/>
        </w:rPr>
        <w:t xml:space="preserve">Pest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Slavica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dipl.pravnik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>(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kooridantor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za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rizike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>)</w:t>
      </w:r>
    </w:p>
    <w:p w14:paraId="4B879E2E" w14:textId="77777777" w:rsidR="00F457F9" w:rsidRPr="0081059E" w:rsidRDefault="00F457F9" w:rsidP="00F457F9">
      <w:pPr>
        <w:spacing w:after="60" w:line="240" w:lineRule="auto"/>
        <w:ind w:left="709"/>
        <w:rPr>
          <w:rFonts w:ascii="BatangChe" w:eastAsia="BatangChe" w:hAnsi="BatangChe" w:cstheme="minorHAnsi"/>
          <w:sz w:val="18"/>
          <w:szCs w:val="20"/>
        </w:rPr>
      </w:pPr>
      <w:proofErr w:type="spellStart"/>
      <w:r>
        <w:rPr>
          <w:rFonts w:ascii="BatangChe" w:eastAsia="BatangChe" w:hAnsi="BatangChe" w:cstheme="minorHAnsi"/>
          <w:sz w:val="18"/>
          <w:szCs w:val="20"/>
        </w:rPr>
        <w:t>Čapo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Radmila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 xml:space="preserve">,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ecc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(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član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>)</w:t>
      </w:r>
    </w:p>
    <w:p w14:paraId="2CCC17BD" w14:textId="77777777" w:rsidR="00F457F9" w:rsidRPr="0081059E" w:rsidRDefault="00F457F9" w:rsidP="00F457F9">
      <w:pPr>
        <w:spacing w:after="60" w:line="240" w:lineRule="auto"/>
        <w:ind w:left="709"/>
        <w:rPr>
          <w:rFonts w:ascii="BatangChe" w:eastAsia="BatangChe" w:hAnsi="BatangChe" w:cstheme="minorHAnsi"/>
          <w:sz w:val="18"/>
          <w:szCs w:val="20"/>
        </w:rPr>
      </w:pPr>
      <w:r>
        <w:rPr>
          <w:rFonts w:ascii="BatangChe" w:eastAsia="BatangChe" w:hAnsi="BatangChe" w:cstheme="minorHAnsi"/>
          <w:sz w:val="18"/>
          <w:szCs w:val="20"/>
        </w:rPr>
        <w:t xml:space="preserve">Repac </w:t>
      </w:r>
      <w:proofErr w:type="spellStart"/>
      <w:r>
        <w:rPr>
          <w:rFonts w:ascii="BatangChe" w:eastAsia="BatangChe" w:hAnsi="BatangChe" w:cstheme="minorHAnsi"/>
          <w:sz w:val="18"/>
          <w:szCs w:val="20"/>
        </w:rPr>
        <w:t>Zoran,teh.spec</w:t>
      </w:r>
      <w:proofErr w:type="spellEnd"/>
      <w:r>
        <w:rPr>
          <w:rFonts w:ascii="BatangChe" w:eastAsia="BatangChe" w:hAnsi="BatangChe" w:cstheme="minorHAnsi"/>
          <w:sz w:val="18"/>
          <w:szCs w:val="20"/>
        </w:rPr>
        <w:t>.</w:t>
      </w:r>
      <w:r w:rsidRPr="0081059E">
        <w:rPr>
          <w:rFonts w:ascii="BatangChe" w:eastAsia="BatangChe" w:hAnsi="BatangChe" w:cstheme="minorHAnsi"/>
          <w:sz w:val="18"/>
          <w:szCs w:val="20"/>
        </w:rPr>
        <w:t>(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član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>)</w:t>
      </w:r>
    </w:p>
    <w:p w14:paraId="2CB77D03" w14:textId="77777777" w:rsidR="00F457F9" w:rsidRPr="0081059E" w:rsidRDefault="00F457F9" w:rsidP="00F457F9">
      <w:pPr>
        <w:spacing w:after="0" w:line="240" w:lineRule="auto"/>
        <w:ind w:left="708"/>
        <w:rPr>
          <w:rFonts w:ascii="BatangChe" w:eastAsia="BatangChe" w:hAnsi="BatangChe" w:cstheme="minorHAnsi"/>
          <w:sz w:val="18"/>
          <w:szCs w:val="20"/>
        </w:rPr>
      </w:pP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imenovana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Odlukom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odgovornog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lica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za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za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finansijsko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upravljanje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i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kontrolu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broj</w:t>
      </w:r>
      <w:proofErr w:type="spellEnd"/>
      <w:r w:rsidRPr="0081059E">
        <w:rPr>
          <w:rFonts w:ascii="BatangChe" w:eastAsia="BatangChe" w:hAnsi="BatangChe" w:cstheme="minorHAnsi"/>
          <w:sz w:val="18"/>
          <w:szCs w:val="20"/>
        </w:rPr>
        <w:t xml:space="preserve"> </w:t>
      </w:r>
      <w:r>
        <w:rPr>
          <w:rFonts w:ascii="BatangChe" w:eastAsia="BatangChe" w:hAnsi="BatangChe" w:cstheme="minorHAnsi"/>
          <w:sz w:val="18"/>
          <w:szCs w:val="20"/>
        </w:rPr>
        <w:t xml:space="preserve">299/2019 </w:t>
      </w:r>
      <w:r w:rsidRPr="0081059E">
        <w:rPr>
          <w:rFonts w:ascii="BatangChe" w:eastAsia="BatangChe" w:hAnsi="BatangChe" w:cstheme="minorHAnsi"/>
          <w:sz w:val="18"/>
          <w:szCs w:val="20"/>
        </w:rPr>
        <w:t xml:space="preserve">od </w:t>
      </w:r>
      <w:r>
        <w:rPr>
          <w:rFonts w:ascii="BatangChe" w:eastAsia="BatangChe" w:hAnsi="BatangChe" w:cstheme="minorHAnsi"/>
          <w:sz w:val="18"/>
          <w:szCs w:val="20"/>
        </w:rPr>
        <w:t xml:space="preserve">25.11.2019. </w:t>
      </w:r>
      <w:proofErr w:type="spellStart"/>
      <w:r w:rsidRPr="0081059E">
        <w:rPr>
          <w:rFonts w:ascii="BatangChe" w:eastAsia="BatangChe" w:hAnsi="BatangChe" w:cstheme="minorHAnsi"/>
          <w:sz w:val="18"/>
          <w:szCs w:val="20"/>
        </w:rPr>
        <w:t>godine</w:t>
      </w:r>
      <w:proofErr w:type="spellEnd"/>
    </w:p>
    <w:p w14:paraId="16439D48" w14:textId="77777777" w:rsidR="00F457F9" w:rsidRPr="0081059E" w:rsidRDefault="00F457F9" w:rsidP="00F457F9">
      <w:pPr>
        <w:spacing w:after="0" w:line="240" w:lineRule="auto"/>
        <w:ind w:firstLine="708"/>
        <w:jc w:val="both"/>
        <w:rPr>
          <w:rFonts w:ascii="BatangChe" w:eastAsia="BatangChe" w:hAnsi="BatangChe" w:cstheme="minorHAnsi"/>
          <w:sz w:val="18"/>
          <w:szCs w:val="20"/>
        </w:rPr>
      </w:pPr>
    </w:p>
    <w:p w14:paraId="3AF587AE" w14:textId="77777777" w:rsidR="00F457F9" w:rsidRPr="0081059E" w:rsidRDefault="00F457F9" w:rsidP="00F457F9">
      <w:pPr>
        <w:spacing w:after="0" w:line="240" w:lineRule="auto"/>
        <w:ind w:firstLine="708"/>
        <w:jc w:val="both"/>
        <w:rPr>
          <w:rFonts w:ascii="BatangChe" w:eastAsia="BatangChe" w:hAnsi="BatangChe" w:cstheme="minorHAnsi"/>
          <w:sz w:val="18"/>
          <w:szCs w:val="20"/>
        </w:rPr>
      </w:pPr>
    </w:p>
    <w:p w14:paraId="786304B6" w14:textId="2D4F3F32" w:rsidR="00F457F9" w:rsidRDefault="00F457F9" w:rsidP="00F457F9">
      <w:pPr>
        <w:spacing w:after="0" w:line="240" w:lineRule="auto"/>
        <w:ind w:firstLine="708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Na osnovu člana </w:t>
      </w: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Pravilnika o zajedničkim kriterijumima i standardima za uspostavljanje, funkcionisanje i izveštavanje o sistemu finansijskog upravljanja i kontrole u javnom sektoru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("Službeni glasnik RS", br. </w:t>
      </w:r>
      <w:r w:rsidR="00126700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89/2019)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rukovodilac korisnika javnih sredstava – direktor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Kubatov Dejan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dana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2</w:t>
      </w:r>
      <w:r w:rsidR="00126700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8.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11 20</w:t>
      </w:r>
      <w:r w:rsidR="00126700">
        <w:rPr>
          <w:rFonts w:ascii="BatangChe" w:eastAsia="BatangChe" w:hAnsi="BatangChe" w:cstheme="minorHAnsi"/>
          <w:noProof/>
          <w:sz w:val="18"/>
          <w:szCs w:val="20"/>
          <w:lang w:val="sr-Latn-CS"/>
        </w:rPr>
        <w:t>23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. godine usvaja Predlog radne grupe za upravljanje rizikom i donosi:  </w:t>
      </w:r>
    </w:p>
    <w:p w14:paraId="09B8A68B" w14:textId="77777777" w:rsidR="00F457F9" w:rsidRPr="0081059E" w:rsidRDefault="00F457F9" w:rsidP="00F457F9">
      <w:pPr>
        <w:spacing w:after="0" w:line="240" w:lineRule="auto"/>
        <w:ind w:firstLine="708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0BD9CFAE" w14:textId="77777777" w:rsidR="00F457F9" w:rsidRPr="0081059E" w:rsidRDefault="00F457F9" w:rsidP="00F457F9">
      <w:pPr>
        <w:spacing w:after="0" w:line="240" w:lineRule="auto"/>
        <w:ind w:firstLine="708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lastRenderedPageBreak/>
        <w:t xml:space="preserve"> </w:t>
      </w:r>
    </w:p>
    <w:p w14:paraId="3E010DFE" w14:textId="33D47432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STRATEGIJU UPRAVLJANJA RIZICIMA</w:t>
      </w:r>
      <w:r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 xml:space="preserve"> ZA PERIOD 20</w:t>
      </w:r>
      <w:r w:rsidR="00126700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 xml:space="preserve">23-2028. </w:t>
      </w: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GODINA</w:t>
      </w:r>
    </w:p>
    <w:p w14:paraId="4982A390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3C9A06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 OPŠTE ODREDBE</w:t>
      </w:r>
    </w:p>
    <w:p w14:paraId="591C82FC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5D9F462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1.</w:t>
      </w:r>
    </w:p>
    <w:p w14:paraId="05813097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4831D44A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 xml:space="preserve">Strategija upravljanja rizicima sadrži ciljeve poslovanja, identifikovane rizike, način upravljanja rizicima, organizaciju, komunikaciju i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izveštavanje o rizicima, kao i odgovornosti pojedinih lica uključenih u proces upravljanja rizicima.</w:t>
      </w:r>
    </w:p>
    <w:p w14:paraId="3AAA0701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Upravljanje rizicima, u skladu sa stavom 1. ovog člana obuhvata identifikaciju i procenu rizika, postupanje po rizicima, kao i praćenje, kontrolu i izveštavanje o rizicima.</w:t>
      </w:r>
    </w:p>
    <w:p w14:paraId="27DB8F53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Strategija upravljanja rizicima treba da doprinese planskom, organizovanom i doslednom sprovođenju usvojenih procedura vezanih za upravaljnje rizicima.</w:t>
      </w:r>
    </w:p>
    <w:p w14:paraId="2D163473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 xml:space="preserve">Sprovođenje strategije upravljanja rizicima mora da pruži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razumno uveravanje da će se ciljevi poslovanja korisnika blagovremeno i efikasno ostvariti.</w:t>
      </w:r>
    </w:p>
    <w:p w14:paraId="47E6FCB0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0378CEC6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2.</w:t>
      </w:r>
    </w:p>
    <w:p w14:paraId="4CA12572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D2663FF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Upravljanje rizicima je sastavni deo strateškog upravljanja u okviru sistema finansijskog upravljanja i kontrole.</w:t>
      </w:r>
    </w:p>
    <w:p w14:paraId="24D728D2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Upravljanje rizicima mora da doprinese smanjenju i kontroli rizika koji mogu biti </w:t>
      </w: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pretnja realizaciji postavljenih ciljeva, odnosno izvršenju poverenih nadležnosti.</w:t>
      </w:r>
    </w:p>
    <w:p w14:paraId="6D45CB71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Upravljanje rizicima odnosi se na </w:t>
      </w: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blagovremeno identifikovanje nepovoljnih okolnosti</w:t>
      </w:r>
      <w:r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 xml:space="preserve"> (</w:t>
      </w: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- u daljem tekstu: rizika) i adekvatno reagovanje na posledice ispoljavanja negativnih efekata po tom osnovu.</w:t>
      </w:r>
    </w:p>
    <w:p w14:paraId="299A8F02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Upravljanje rizicima sprovodi se na svim nivoima odgovornosti u skladu sa poslovima i radnim zadacima utvrđenim unutrašnjom organizacijom i sistematizacijom radnih mesta.</w:t>
      </w:r>
    </w:p>
    <w:p w14:paraId="296D1B5E" w14:textId="77777777" w:rsidR="00F457F9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9BF9E3E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II CILJEVI POSLOVANJA</w:t>
      </w:r>
    </w:p>
    <w:p w14:paraId="27269A19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0EF2884D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3.</w:t>
      </w:r>
    </w:p>
    <w:p w14:paraId="0963B5F0" w14:textId="77777777" w:rsidR="00F457F9" w:rsidRPr="0081059E" w:rsidRDefault="00F457F9" w:rsidP="00F457F9">
      <w:pPr>
        <w:spacing w:after="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14761FF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Ciljevi poslovanja utvrđuju se na bazi godišnjeg programa poslovanja i mogu biti strateški i operativni. </w:t>
      </w:r>
    </w:p>
    <w:p w14:paraId="3A875B1D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Ciljevi poslovanja treba da uvaže razvojene planove, odnosno da se donese u skladu sa strategijom razvoja i usvojenim prioritetima nadležnog direktnog korisnika. </w:t>
      </w:r>
    </w:p>
    <w:p w14:paraId="75BF3B74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Ciljevi poslovanja utvrđuju se na nivou programske aktivnosti, projekta, organizacione jedinice, radnog zadataka/posla, izvršioca, odnosno radnog mesta.</w:t>
      </w:r>
    </w:p>
    <w:p w14:paraId="4458BBC3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Ciljevi poslovanja bez obzira na način iskazivanja iz stava 3. ovog člana treba da budu jasni, merljivi i koliko je moguće nominalno iskazani.</w:t>
      </w:r>
    </w:p>
    <w:p w14:paraId="1B2813F7" w14:textId="77777777" w:rsidR="00F457F9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6B92A253" w14:textId="77777777" w:rsidR="00F457F9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36A41C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4E6BA58C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4.</w:t>
      </w:r>
    </w:p>
    <w:p w14:paraId="12BAD5BC" w14:textId="77777777" w:rsidR="00F457F9" w:rsidRPr="0081059E" w:rsidRDefault="00F457F9" w:rsidP="00F457F9">
      <w:pPr>
        <w:autoSpaceDE w:val="0"/>
        <w:spacing w:after="0" w:line="240" w:lineRule="auto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</w:p>
    <w:p w14:paraId="24A65A07" w14:textId="77777777" w:rsidR="00F457F9" w:rsidRPr="0081059E" w:rsidRDefault="00F457F9" w:rsidP="00F457F9">
      <w:pPr>
        <w:autoSpaceDE w:val="0"/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Opšti ciljevi koje korisnik u procesu izvršenja poverenih nadležnosti treba da ostvari bez obzira na delatnost kojoj pripada su:</w:t>
      </w:r>
    </w:p>
    <w:p w14:paraId="1CD87205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zakonitost poslovanja;</w:t>
      </w:r>
    </w:p>
    <w:p w14:paraId="369AFB7D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transparentnost delovanja</w:t>
      </w:r>
    </w:p>
    <w:p w14:paraId="72AEC3CC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osnovanost i odgovornost trošenja</w:t>
      </w: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 xml:space="preserve"> javnih sredstava;</w:t>
      </w:r>
    </w:p>
    <w:p w14:paraId="359A5DB3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ekonomičnost i efikasnost javne potrošnje;</w:t>
      </w:r>
    </w:p>
    <w:p w14:paraId="7E0967C7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blagovremenost, pot</w:t>
      </w: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punost i pouzdanost izveštavanja;</w:t>
      </w:r>
    </w:p>
    <w:p w14:paraId="49DF2FA2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uvažavanje i prilagođavanje promenama;</w:t>
      </w:r>
    </w:p>
    <w:p w14:paraId="12333AE3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sigurnost i bezbednost delovanja i izvršenja poverene javne funkcije.</w:t>
      </w:r>
    </w:p>
    <w:p w14:paraId="5266D28E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4DA8855A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III DEFINISANJE RIZIKA</w:t>
      </w:r>
    </w:p>
    <w:p w14:paraId="55109986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/>
          <w:sz w:val="18"/>
          <w:szCs w:val="20"/>
        </w:rPr>
        <w:tab/>
      </w:r>
    </w:p>
    <w:p w14:paraId="78DE7C9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 xml:space="preserve">Pojam rizika </w:t>
      </w:r>
    </w:p>
    <w:p w14:paraId="0A5FE2E4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1B8FF383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5.</w:t>
      </w:r>
    </w:p>
    <w:p w14:paraId="7C7DA248" w14:textId="77777777" w:rsidR="00F457F9" w:rsidRPr="0081059E" w:rsidRDefault="00F457F9" w:rsidP="00F457F9">
      <w:pPr>
        <w:autoSpaceDE w:val="0"/>
        <w:spacing w:after="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</w:p>
    <w:p w14:paraId="7AC79F1C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Rizik predstavlja verovatnoću nastanka nepovoljnog događaja, odnosno situacije koja može imati negativan uticaj na realizaciju poslovnih ciljeva korisnika.</w:t>
      </w:r>
    </w:p>
    <w:p w14:paraId="572FF838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Rizici se direktno vezuju, odnosno proizilaze iz ciljeva čiju realizaciju mogu da ugroze.</w:t>
      </w:r>
    </w:p>
    <w:p w14:paraId="665270B5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03BAACF8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 xml:space="preserve">Vrste rizika </w:t>
      </w:r>
    </w:p>
    <w:p w14:paraId="2B8A5813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5618A4B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6. </w:t>
      </w:r>
    </w:p>
    <w:p w14:paraId="3A0364B2" w14:textId="77777777" w:rsidR="00F457F9" w:rsidRPr="0081059E" w:rsidRDefault="00F457F9" w:rsidP="00F457F9">
      <w:pPr>
        <w:autoSpaceDE w:val="0"/>
        <w:spacing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</w:p>
    <w:p w14:paraId="2F3AC779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Rizici se prema predmetu, odnosno mestu nastanka dele na rizike realizacije programskih aktivnosti, rizike realizacije projekata, rizike organizacionih jedinica/službi, rizike radnih zadataka/aktivnosti, rizike pojedinih radnih mesta, odnosno izvršilaca.</w:t>
      </w:r>
    </w:p>
    <w:p w14:paraId="7D033961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Rizici se prema periodu ispoljavanja, odnosno dužini uticaja dele na dugoročne, srednjoročne i kratkoročne.</w:t>
      </w:r>
    </w:p>
    <w:p w14:paraId="7FBD48ED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 xml:space="preserve">Rizici se prema načinu ispoljavanja dele na stalne ili kontinuirane i povremene ili sporadnične. </w:t>
      </w:r>
    </w:p>
    <w:p w14:paraId="1BA3B4B2" w14:textId="77777777" w:rsidR="00F457F9" w:rsidRPr="0081059E" w:rsidRDefault="00F457F9" w:rsidP="00F457F9">
      <w:pPr>
        <w:autoSpaceDE w:val="0"/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Rizici se prema prirodi nastanka dele na rizike zakonitosti poslovanja, rizike kvaliteta poslovanja (kvalitet rada, obim aktivnosti, sigurnost i bezbednost poslovanja i sl.) i rizike finansiranja i trošenja sredstava (ekonomičnosti potrošenje, namenske opredeljenosti sredstava, odgovornosti i osnovanosti trošenja, balgovremenosti plaćanja obaveza, likvidnosti i sl.).</w:t>
      </w:r>
    </w:p>
    <w:p w14:paraId="7257C93B" w14:textId="77777777" w:rsidR="00F457F9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CCFE1F5" w14:textId="77777777" w:rsidR="00F457F9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E1C41DB" w14:textId="77777777" w:rsidR="00F457F9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D173DD5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FABF4F6" w14:textId="77777777" w:rsidR="00F457F9" w:rsidRPr="0081059E" w:rsidRDefault="00F457F9" w:rsidP="00F457F9">
      <w:pPr>
        <w:autoSpaceDE w:val="0"/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IV UPRAVLJANJE RIZICIMA</w:t>
      </w:r>
    </w:p>
    <w:p w14:paraId="62E16060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7B3B2900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Ciljevi upravljanja rizicima</w:t>
      </w:r>
    </w:p>
    <w:p w14:paraId="27A0D4F2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601609C6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7. </w:t>
      </w:r>
    </w:p>
    <w:p w14:paraId="4881E42B" w14:textId="77777777" w:rsidR="00F457F9" w:rsidRPr="0081059E" w:rsidRDefault="00F457F9" w:rsidP="00F457F9">
      <w:pPr>
        <w:autoSpaceDE w:val="0"/>
        <w:spacing w:after="6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A1B2D66" w14:textId="77777777" w:rsidR="00F457F9" w:rsidRPr="0081059E" w:rsidRDefault="00F457F9" w:rsidP="00F457F9">
      <w:pPr>
        <w:autoSpaceDE w:val="0"/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Ciljeve upravljanja rizicima donosi rukovodilac/direktor korisnika na predlog odgovornog lica za finansijsko upravljanje i kontrolu.   </w:t>
      </w:r>
    </w:p>
    <w:p w14:paraId="3FA96B7C" w14:textId="77777777" w:rsidR="00F457F9" w:rsidRPr="0081059E" w:rsidRDefault="00F457F9" w:rsidP="00F457F9">
      <w:pPr>
        <w:autoSpaceDE w:val="0"/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Ciljevi upravljanja rizicima donose se pre isteka kalendarske godine za narednu poslovnu godinu.</w:t>
      </w:r>
    </w:p>
    <w:p w14:paraId="618D4E2F" w14:textId="77777777" w:rsidR="00F457F9" w:rsidRPr="0081059E" w:rsidRDefault="00F457F9" w:rsidP="00F457F9">
      <w:pPr>
        <w:autoSpaceDE w:val="0"/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Ciljevi upravljanja rizicima iz stava 2. ovog člana ukoliko je potrebno usklađuju se najkasnije pet radnih dana od usvajanja finansijskog plana, odnosno plana javnih nabavki.</w:t>
      </w:r>
    </w:p>
    <w:p w14:paraId="04FD4EA0" w14:textId="77777777" w:rsidR="00F457F9" w:rsidRPr="0081059E" w:rsidRDefault="00F457F9" w:rsidP="00F457F9">
      <w:pPr>
        <w:autoSpaceDE w:val="0"/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Ciljevi upravljanja rizicima utvrđuju se na osnovu ciljeva poslovanja, stepena njihovog ostvarenja prethodnog perioda, analize šansi i opasnosti okruženja, analize snaga i slabosti korisnika i analize promena u poslovanju korisnika u odnosu na prethodni planski period.</w:t>
      </w:r>
    </w:p>
    <w:p w14:paraId="04BDF2AC" w14:textId="77777777" w:rsidR="00F457F9" w:rsidRPr="0081059E" w:rsidRDefault="00F457F9" w:rsidP="00F457F9">
      <w:pPr>
        <w:autoSpaceDE w:val="0"/>
        <w:spacing w:before="60" w:after="60" w:line="240" w:lineRule="auto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061359D9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8. </w:t>
      </w:r>
    </w:p>
    <w:p w14:paraId="2F6A9780" w14:textId="77777777" w:rsidR="00F457F9" w:rsidRPr="0081059E" w:rsidRDefault="00F457F9" w:rsidP="00F457F9">
      <w:pPr>
        <w:autoSpaceDE w:val="0"/>
        <w:spacing w:after="60" w:line="240" w:lineRule="auto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742CFC9" w14:textId="77777777" w:rsidR="00F457F9" w:rsidRPr="0081059E" w:rsidRDefault="00F457F9" w:rsidP="00F457F9">
      <w:pPr>
        <w:autoSpaceDE w:val="0"/>
        <w:spacing w:before="60" w:after="60" w:line="240" w:lineRule="auto"/>
        <w:ind w:firstLine="708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Ciljevi upravljanja rizicima na nivou korisnika treba da omoguće:</w:t>
      </w:r>
    </w:p>
    <w:p w14:paraId="492A1408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stvaranje uslova za efikasno upravljanje radnim procesima, finansijskim tokovima i poverenom javnom svojinom;</w:t>
      </w:r>
    </w:p>
    <w:p w14:paraId="6E4F51B8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formiranje okvira za uključivanje procesa upravljanja rizicima u redovno poslovanje korisnika i sprovođenje poslovnih unapređenja po tom osnovu.</w:t>
      </w:r>
    </w:p>
    <w:p w14:paraId="73FEDF60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uspostavljanje efikasne komunikacije i protoka informacija o rizicima;</w:t>
      </w:r>
    </w:p>
    <w:p w14:paraId="13CC567F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uspostavljanje i ažuriranje Registra rizika.</w:t>
      </w:r>
    </w:p>
    <w:p w14:paraId="211EF9EA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C664D31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Identifikacija rizika</w:t>
      </w:r>
    </w:p>
    <w:p w14:paraId="3BAC19B5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463047A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9. </w:t>
      </w:r>
    </w:p>
    <w:p w14:paraId="75AFA059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6DA762FA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Identifikacija rizika obuhvata prepoznavanje potencijalnih faktora rizičnosti, kao i opis prirode, uzorka i posledica, odnosno značaja njihovog ispoljavanja.</w:t>
      </w:r>
    </w:p>
    <w:p w14:paraId="498CF958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Identifikacija rizika iz stava 1. ovog člana vrši se putem kvantitativnih i kvalitativnih pokazatelja.</w:t>
      </w:r>
    </w:p>
    <w:p w14:paraId="40468DCB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6DBA8301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10.</w:t>
      </w:r>
    </w:p>
    <w:p w14:paraId="2740AA89" w14:textId="77777777" w:rsidR="00F457F9" w:rsidRPr="0081059E" w:rsidRDefault="00F457F9" w:rsidP="00F457F9">
      <w:pPr>
        <w:spacing w:after="0" w:line="240" w:lineRule="auto"/>
        <w:ind w:firstLine="708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6DB1645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Identifikacija rizika vrši se od strane svih zaposlenih u okviru poverenih nadležnosti svog radnog mesta.</w:t>
      </w:r>
    </w:p>
    <w:p w14:paraId="4DF2405D" w14:textId="77777777" w:rsidR="00F457F9" w:rsidRPr="0081059E" w:rsidRDefault="00F457F9" w:rsidP="00F457F9">
      <w:pPr>
        <w:spacing w:before="60" w:after="60" w:line="240" w:lineRule="auto"/>
        <w:ind w:firstLine="709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Identifikacija rizika vrši se na Obrascu - Identifikacija rizika.</w:t>
      </w:r>
    </w:p>
    <w:p w14:paraId="619C0DD2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Obrazac - Identifikacija rizika potpisuje lice iz stava 1. ovog člana i rukovodilac organizacione jedinice/službe.</w:t>
      </w:r>
    </w:p>
    <w:p w14:paraId="3ACB098E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1A3A6561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4D4FF714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Registar rizika</w:t>
      </w:r>
    </w:p>
    <w:p w14:paraId="0FC6A6FD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530100E4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11.</w:t>
      </w:r>
    </w:p>
    <w:p w14:paraId="688C0185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E232B39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Registar rizika obuhvata sve identifikovane rizike na nivou korisnika.</w:t>
      </w:r>
    </w:p>
    <w:p w14:paraId="063E16BB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 okviru Registra iz stava 1. ovog člana utvrđuje se bliža pripadnost rizika, u smislu pripadnosti programskoj aktivnosti, odnosno projektu, kao i organizacionoj jedinici/službi i konkretnom radnom mestu, odnosno poslovnom zadatku i izvršiocu.</w:t>
      </w:r>
    </w:p>
    <w:p w14:paraId="16FAC26D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D0195C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12. </w:t>
      </w:r>
    </w:p>
    <w:p w14:paraId="30DCE13E" w14:textId="77777777" w:rsidR="00F457F9" w:rsidRPr="0081059E" w:rsidRDefault="00F457F9" w:rsidP="00F457F9">
      <w:pPr>
        <w:spacing w:after="60" w:line="240" w:lineRule="auto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4B9E676" w14:textId="77777777" w:rsidR="00F457F9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Organizacione jedinice/službe korisnika prema kojima se vrši razvrstavanje rizika po pripadnosti iz člana 11, stav 2. su:</w:t>
      </w:r>
    </w:p>
    <w:p w14:paraId="0ACAF5AB" w14:textId="77777777" w:rsidR="00F457F9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-finansijsko-knjigovodstveni i pravni sektor</w:t>
      </w:r>
    </w:p>
    <w:p w14:paraId="273F4876" w14:textId="77777777" w:rsidR="00F457F9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-tehnički sektor</w:t>
      </w:r>
    </w:p>
    <w:p w14:paraId="41CB9834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A9AEBB7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Radna mesta sa opisom radnih zadataka i izvršiocima prema kojima se vrši razvrstavanje rizika po pripadnosti iz člana 11, stav 2. utvrđeni su u skladu sa unutrašnjom organizacijom i sistematizacijom radnih mesta. </w:t>
      </w:r>
    </w:p>
    <w:p w14:paraId="6451A9BD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13. </w:t>
      </w:r>
    </w:p>
    <w:p w14:paraId="2BE9A4D5" w14:textId="77777777" w:rsidR="00F457F9" w:rsidRPr="0081059E" w:rsidRDefault="00F457F9" w:rsidP="00F457F9">
      <w:pPr>
        <w:spacing w:after="60" w:line="240" w:lineRule="auto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D654BCE" w14:textId="77777777" w:rsidR="00F457F9" w:rsidRPr="0081059E" w:rsidRDefault="00F457F9" w:rsidP="00F457F9">
      <w:pPr>
        <w:spacing w:before="60" w:after="60" w:line="240" w:lineRule="auto"/>
        <w:ind w:firstLine="708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 okviru Registra rizika vrši se razvrstavanje rizika i na strateške, odnosno operativne, kao i dugoročne, odnosno kratkoročne.</w:t>
      </w:r>
    </w:p>
    <w:p w14:paraId="721A022A" w14:textId="77777777" w:rsidR="00F457F9" w:rsidRPr="0081059E" w:rsidRDefault="00F457F9" w:rsidP="00F457F9">
      <w:pPr>
        <w:spacing w:before="60" w:after="60" w:line="240" w:lineRule="auto"/>
        <w:ind w:firstLine="708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Unutar određene pripadnosti rizika u skladu sa stavom 1. ovog člana vrši se njihova dalja klasifikacija prema prirodi, odnosno vrsti rizika, u smislu podele na:</w:t>
      </w:r>
    </w:p>
    <w:p w14:paraId="6AD1E769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 w:line="240" w:lineRule="auto"/>
        <w:ind w:left="1769" w:hanging="35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rizike okruženja</w:t>
      </w:r>
    </w:p>
    <w:p w14:paraId="11A7A58D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ind w:left="1769" w:hanging="357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 xml:space="preserve">rizike zakonistosti poslovanja </w:t>
      </w:r>
    </w:p>
    <w:p w14:paraId="6786D62E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ind w:left="1769" w:hanging="357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rizike kvaliteta poslovanja</w:t>
      </w:r>
    </w:p>
    <w:p w14:paraId="3AD39940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ind w:left="1769" w:hanging="357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rizike komunikacija i informisanja</w:t>
      </w:r>
    </w:p>
    <w:p w14:paraId="62AAED5C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ind w:left="1769" w:hanging="357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rizike planiranja i organizacije rada</w:t>
      </w:r>
    </w:p>
    <w:p w14:paraId="5260DCB4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ind w:left="1769" w:hanging="357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rizike zapošljavanja i angažovanja</w:t>
      </w:r>
    </w:p>
    <w:p w14:paraId="68FFD003" w14:textId="77777777" w:rsidR="00F457F9" w:rsidRPr="0081059E" w:rsidRDefault="00F457F9" w:rsidP="00F457F9">
      <w:pPr>
        <w:pStyle w:val="ListParagraph"/>
        <w:numPr>
          <w:ilvl w:val="0"/>
          <w:numId w:val="27"/>
        </w:numPr>
        <w:autoSpaceDE w:val="0"/>
        <w:spacing w:before="60" w:after="60" w:line="240" w:lineRule="auto"/>
        <w:ind w:left="1769" w:hanging="357"/>
        <w:contextualSpacing w:val="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rizike finansiranja i plaćanja.</w:t>
      </w:r>
    </w:p>
    <w:p w14:paraId="38DBEF23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6871E8B4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14. </w:t>
      </w:r>
    </w:p>
    <w:p w14:paraId="74F93D2B" w14:textId="77777777" w:rsidR="00F457F9" w:rsidRPr="0081059E" w:rsidRDefault="00F457F9" w:rsidP="00F457F9">
      <w:pPr>
        <w:spacing w:after="60" w:line="240" w:lineRule="auto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18AC9D86" w14:textId="77777777" w:rsidR="00F457F9" w:rsidRPr="0081059E" w:rsidRDefault="00F457F9" w:rsidP="00F457F9">
      <w:pPr>
        <w:spacing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Identifikacija rizika, pored člana 10. ove Strategije vrši se i uvidom u izveštaj o analizi snaga i slabosti korisnika, odnosno šansi i opasnosti okruženja koji se sastavlja najmanje jednom godišnje.</w:t>
      </w:r>
    </w:p>
    <w:p w14:paraId="3123DDBF" w14:textId="77777777" w:rsidR="00F457F9" w:rsidRPr="0081059E" w:rsidRDefault="00F457F9" w:rsidP="00F457F9">
      <w:pPr>
        <w:spacing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lastRenderedPageBreak/>
        <w:t>Analizu snaga i slabosti korisnika, odnosno šansi i opasnosti okruženja sprovodi radna grupa formirana za upravljanje rizikom o čijim rezultatima se informiše odgovorno lice za upravljnje i kontrolu.</w:t>
      </w:r>
    </w:p>
    <w:p w14:paraId="47FEA77A" w14:textId="77777777" w:rsidR="00F457F9" w:rsidRPr="0081059E" w:rsidRDefault="00F457F9" w:rsidP="00F457F9">
      <w:pPr>
        <w:spacing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Izveštaj iz stava 1. ovog člana podnosi se najkasnije 30 dana pre isteka kalendarske godine, od strane koordinatora za rizike.</w:t>
      </w:r>
    </w:p>
    <w:p w14:paraId="0F6BCAEA" w14:textId="77777777" w:rsidR="00F457F9" w:rsidRPr="0081059E" w:rsidRDefault="00F457F9" w:rsidP="00F457F9">
      <w:pPr>
        <w:spacing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Na osnovu izveštaja iz stava 3. ovog člana odgovorno lice za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finansijsko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upravljnje i kontrolu donosi odluku o indektifikovanju novih, odnosno izmeni postojećih rizika, najkasnije 10 dana pre isteka kalendarske godine. </w:t>
      </w:r>
    </w:p>
    <w:p w14:paraId="35543372" w14:textId="77777777" w:rsidR="00F457F9" w:rsidRPr="0081059E" w:rsidRDefault="00F457F9" w:rsidP="00F457F9">
      <w:pPr>
        <w:spacing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Izuzetno, analiza snaga i slabosti korisnika, odnosno šansi i opasnosti okruženja sprovodi se i vanredno u slučaju nastanka nepredviđenih okolnosti, po odluci odgovornog lica za upravljnje i kontrolu.</w:t>
      </w:r>
    </w:p>
    <w:p w14:paraId="7A467E58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7D69DF51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Procena značaja rizika</w:t>
      </w:r>
    </w:p>
    <w:p w14:paraId="61A90F40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/>
          <w:color w:val="FF0066"/>
          <w:sz w:val="18"/>
          <w:szCs w:val="20"/>
        </w:rPr>
      </w:pPr>
      <w:r w:rsidRPr="0081059E">
        <w:rPr>
          <w:rFonts w:ascii="BatangChe" w:eastAsia="BatangChe" w:hAnsi="BatangChe"/>
          <w:color w:val="FF0066"/>
          <w:sz w:val="18"/>
          <w:szCs w:val="20"/>
        </w:rPr>
        <w:tab/>
      </w:r>
    </w:p>
    <w:p w14:paraId="2DBAE896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15.</w:t>
      </w:r>
    </w:p>
    <w:p w14:paraId="76799044" w14:textId="77777777" w:rsidR="00F457F9" w:rsidRPr="0081059E" w:rsidRDefault="00F457F9" w:rsidP="00F457F9">
      <w:pPr>
        <w:autoSpaceDE w:val="0"/>
        <w:spacing w:after="0" w:line="240" w:lineRule="auto"/>
        <w:ind w:firstLine="72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</w:p>
    <w:p w14:paraId="30A06F60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Procena značaja rizika utvrđuje se razmatranjem posledica koje dejstvo, odnosno ispoljavanje rizika može da izazove i verovatnoće njegovog ispoljavanja.</w:t>
      </w:r>
    </w:p>
    <w:p w14:paraId="15DD744B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Procena značaja rizika utvrđuje se pomoću matrice rizika koja služi kao osnov merenja.</w:t>
      </w:r>
    </w:p>
    <w:p w14:paraId="6BC3207C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Prednog procene značaja rizika utvrđuje radna grupa za rizike i rukovodilac organizacione jedinice/službe kojoj rizik pripada, a sa kojim treba da se usaglasi odgovorno lice za finansijsko upravljanje i kontrolu. </w:t>
      </w:r>
    </w:p>
    <w:p w14:paraId="37C21A93" w14:textId="77777777" w:rsidR="00F457F9" w:rsidRPr="0081059E" w:rsidRDefault="00F457F9" w:rsidP="00F457F9">
      <w:pPr>
        <w:autoSpaceDE w:val="0"/>
        <w:spacing w:after="60" w:line="240" w:lineRule="auto"/>
        <w:ind w:firstLine="72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</w:p>
    <w:p w14:paraId="2C82580A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16.</w:t>
      </w:r>
    </w:p>
    <w:p w14:paraId="1F783AEC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/>
          <w:sz w:val="18"/>
          <w:szCs w:val="20"/>
        </w:rPr>
      </w:pPr>
    </w:p>
    <w:p w14:paraId="6279278E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>Matrica rizika utvrđuje se kao proizvod broja bodova posledica koje dejstvo rizika može da izazove i broja bodova verovatnoće njegovog ispoljavanja.</w:t>
      </w:r>
    </w:p>
    <w:p w14:paraId="5CEF58C9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Cs/>
          <w:noProof/>
          <w:sz w:val="18"/>
          <w:szCs w:val="20"/>
          <w:lang w:val="sr-Latn-CS"/>
        </w:rPr>
        <w:t xml:space="preserve">Posledice koje rizik može da izazove i verovatnoća njegovog nastanka boduju se od 1 do 3. </w:t>
      </w:r>
    </w:p>
    <w:p w14:paraId="652E0DEE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Ukupna izloženost riziku iskazuje se kao niska (od 1 do 3 bodova), srednja (od 4 do 6 bodova) i visoka (od 7 do 9 bodova). </w:t>
      </w:r>
    </w:p>
    <w:p w14:paraId="32D9476B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5495932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Postupanje po rizicima</w:t>
      </w:r>
    </w:p>
    <w:p w14:paraId="093C5E93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6C04E17A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17. </w:t>
      </w:r>
    </w:p>
    <w:p w14:paraId="124AE861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EC189CF" w14:textId="77777777" w:rsidR="00F457F9" w:rsidRPr="0081059E" w:rsidRDefault="00F457F9" w:rsidP="00F457F9">
      <w:pPr>
        <w:pStyle w:val="ListParagraph"/>
        <w:spacing w:before="60" w:after="60"/>
        <w:ind w:left="0" w:firstLine="709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Odgovorno lice za finansijsko – upravljanje i kontrolu korisnika u saradnji sa rukovodiocem organizacione jedinice prema pripadnosti rizika utvrđuje mere postupanja po rizicima.</w:t>
      </w:r>
    </w:p>
    <w:p w14:paraId="41D0A95C" w14:textId="77777777" w:rsidR="00F457F9" w:rsidRPr="0081059E" w:rsidRDefault="00F457F9" w:rsidP="00F457F9">
      <w:pPr>
        <w:pStyle w:val="ListParagraph"/>
        <w:spacing w:before="60" w:after="60"/>
        <w:ind w:left="0" w:firstLine="709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Mere postupanja po rizicima u zavisnosti od procene značaja rizika, mogućnosti uticaja na rizik, kao mogućnosti tolerancije, odnosno prihvatanja rizika mogu biti:</w:t>
      </w:r>
    </w:p>
    <w:p w14:paraId="7CFDFC1E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izbegavanje rizika - obavljanje određenih aktivnosti drugačije, promena načina rada;</w:t>
      </w:r>
    </w:p>
    <w:p w14:paraId="36BE18F7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prenošenje rizika – osiguranje imovine, zaključivanje višegodišnjih ugovora i sl.;</w:t>
      </w:r>
    </w:p>
    <w:p w14:paraId="35D07E31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prihvatanje rizika – preduzimanje mera za praćenje i kontrolu rizika;</w:t>
      </w:r>
    </w:p>
    <w:p w14:paraId="1A85FC10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lastRenderedPageBreak/>
        <w:t>smanjenje/ublažavanje rizika (preduzimanje radnji) – promene procedura, jačanje odgovornosti, jačanje kontrole, promena izvrilaca i sl.</w:t>
      </w:r>
    </w:p>
    <w:p w14:paraId="2123B89F" w14:textId="77777777" w:rsidR="00F457F9" w:rsidRPr="0081059E" w:rsidRDefault="00F457F9" w:rsidP="00F457F9">
      <w:pPr>
        <w:spacing w:before="60" w:after="60"/>
        <w:ind w:firstLine="567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Utvrđene mere iz stava 1. ovog člama moraju biti analizirane i ažurirane najmanje jednom godišnje od strane odgovornog lica za finansijsko – upravljanje i kontrolu i rukovodioca organizacione jedinice prema pripadnosti rizika.</w:t>
      </w:r>
    </w:p>
    <w:p w14:paraId="726E7830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1305ADC5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18. </w:t>
      </w:r>
    </w:p>
    <w:p w14:paraId="5BE81A6F" w14:textId="77777777" w:rsidR="00F457F9" w:rsidRPr="0081059E" w:rsidRDefault="00F457F9" w:rsidP="00F457F9">
      <w:pPr>
        <w:autoSpaceDE w:val="0"/>
        <w:spacing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</w:p>
    <w:p w14:paraId="724AF32E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Za rizike kod kojih je procena rizika značaja - visoka ili srednja neophodno je doneti plan postupanja po rizicima, od strane odgovornog lica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za finansijsko upravljnje i kontrolu i rukovodioca organizacione jedinice, a po poredlogu radne grupe za rizike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.</w:t>
      </w:r>
    </w:p>
    <w:p w14:paraId="40602A44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U rizike iz stava 1. ovog člana smatraju se naročito rizici koji predstavljaju pretnju, odnosno opasnost u odnosu na:</w:t>
      </w:r>
    </w:p>
    <w:p w14:paraId="4442449A" w14:textId="77777777" w:rsidR="00F457F9" w:rsidRPr="0081059E" w:rsidRDefault="00F457F9" w:rsidP="00F457F9">
      <w:pPr>
        <w:pStyle w:val="ListParagraph"/>
        <w:numPr>
          <w:ilvl w:val="0"/>
          <w:numId w:val="31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uspešnost završetka projekta, programa, aktivnosti;</w:t>
      </w:r>
    </w:p>
    <w:p w14:paraId="3D4E8FE1" w14:textId="77777777" w:rsidR="00F457F9" w:rsidRPr="0081059E" w:rsidRDefault="00F457F9" w:rsidP="00F457F9">
      <w:pPr>
        <w:pStyle w:val="ListParagraph"/>
        <w:numPr>
          <w:ilvl w:val="0"/>
          <w:numId w:val="31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sigurnost, stabilnost i bezbednost poslovanja;</w:t>
      </w:r>
    </w:p>
    <w:p w14:paraId="09F26C9B" w14:textId="77777777" w:rsidR="00F457F9" w:rsidRPr="0081059E" w:rsidRDefault="00F457F9" w:rsidP="00F457F9">
      <w:pPr>
        <w:pStyle w:val="ListParagraph"/>
        <w:numPr>
          <w:ilvl w:val="0"/>
          <w:numId w:val="31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zakonitost poslovanja;</w:t>
      </w:r>
    </w:p>
    <w:p w14:paraId="343D1CD3" w14:textId="77777777" w:rsidR="00F457F9" w:rsidRPr="0081059E" w:rsidRDefault="00F457F9" w:rsidP="00F457F9">
      <w:pPr>
        <w:pStyle w:val="ListParagraph"/>
        <w:numPr>
          <w:ilvl w:val="0"/>
          <w:numId w:val="31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sigurnost javne imovine i pojavu značajnih finansijskih gubitaka;</w:t>
      </w:r>
    </w:p>
    <w:p w14:paraId="27878C11" w14:textId="77777777" w:rsidR="00F457F9" w:rsidRPr="0081059E" w:rsidRDefault="00F457F9" w:rsidP="00F457F9">
      <w:pPr>
        <w:pStyle w:val="ListParagraph"/>
        <w:numPr>
          <w:ilvl w:val="0"/>
          <w:numId w:val="29"/>
        </w:numPr>
        <w:autoSpaceDE w:val="0"/>
        <w:spacing w:before="60" w:after="60" w:line="240" w:lineRule="auto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sigurnost zaposlenih;</w:t>
      </w:r>
    </w:p>
    <w:p w14:paraId="1615319C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Za rizike iz stava 1. ovog člana nakon preduzetih mera postupanja po rizicima odgovorno lice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za upravljnje i kontrolu i rukovodilac organizacione jedinice, a po poredlogu radne grupe za rizike,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 treba da utvditi procedure za njihovo dalje praćenje i kontrolu.</w:t>
      </w:r>
    </w:p>
    <w:p w14:paraId="461CE173" w14:textId="77777777" w:rsidR="00F457F9" w:rsidRPr="0081059E" w:rsidRDefault="00F457F9" w:rsidP="00F457F9">
      <w:pPr>
        <w:spacing w:before="60" w:after="60" w:line="240" w:lineRule="auto"/>
        <w:ind w:firstLine="709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Za praćenje i kontrolu iz stava 3. ovog člana imenuje se lice, od strane odgovornog lica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za upravljnje i kontrolu i odgovornog lica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organizacione jedinice/službe kojoj rizik pripada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.</w:t>
      </w:r>
    </w:p>
    <w:p w14:paraId="5D01BFF5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Imenovano lice iz stava 4. ovog člana za praćenje i kontrolu rizika odgovara rukovodiocu organizacione jedinice/službe kojoj rizik pripada. </w:t>
      </w:r>
    </w:p>
    <w:p w14:paraId="272E0946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2C269228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  <w:t>Praćenje i izveštavanje o rizicima</w:t>
      </w:r>
    </w:p>
    <w:p w14:paraId="5EC1C632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4ADD58C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19.</w:t>
      </w:r>
    </w:p>
    <w:p w14:paraId="28A4E593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</w:t>
      </w:r>
    </w:p>
    <w:p w14:paraId="59081337" w14:textId="77777777" w:rsidR="00F457F9" w:rsidRPr="0081059E" w:rsidRDefault="00F457F9" w:rsidP="00F457F9">
      <w:pPr>
        <w:pStyle w:val="ListParagraph"/>
        <w:spacing w:before="120" w:after="120"/>
        <w:ind w:left="0" w:firstLine="567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Podaci o praćenju rizika i o merama postupanja po rizicima, kao podaci o svim drugim promenama rizika dostavljaju se na Obrascu -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Identifikacija rizika, iz člana 10. ove Strategije.</w:t>
      </w:r>
    </w:p>
    <w:p w14:paraId="25D60484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1E780622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20. </w:t>
      </w:r>
    </w:p>
    <w:p w14:paraId="7D901972" w14:textId="77777777" w:rsidR="00F457F9" w:rsidRPr="0081059E" w:rsidRDefault="00F457F9" w:rsidP="00F457F9">
      <w:pPr>
        <w:spacing w:before="120" w:after="120"/>
        <w:ind w:firstLine="567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</w:p>
    <w:p w14:paraId="1C2D151D" w14:textId="77777777" w:rsidR="00F457F9" w:rsidRPr="0081059E" w:rsidRDefault="00F457F9" w:rsidP="00F457F9">
      <w:pPr>
        <w:spacing w:before="120" w:after="120"/>
        <w:ind w:firstLine="567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Obrazac - Identifikacija rizika zaposleni/izvršilac, odnosno zaduženo lice za praćenje i kontrolu rizika dostavlja rukovodiocu organizacione jedinice/službe prema pripadnosti rizika.</w:t>
      </w:r>
    </w:p>
    <w:p w14:paraId="088FC631" w14:textId="77777777" w:rsidR="00F457F9" w:rsidRPr="0081059E" w:rsidRDefault="00F457F9" w:rsidP="00F457F9">
      <w:pPr>
        <w:spacing w:before="120" w:after="120"/>
        <w:ind w:firstLine="567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lastRenderedPageBreak/>
        <w:t>Izuzetno od stava 1. ovog člana Obrazac - Identifikacija rizika za rizike koji su opšti, odnosno zajednički za organizacionu jedinicu/službu popunjava rukovodilac organizacione jedinice/službe, u saradnji za zaposlenima/izvršiocima.</w:t>
      </w:r>
    </w:p>
    <w:p w14:paraId="0EB2F250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0206967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21. </w:t>
      </w:r>
    </w:p>
    <w:p w14:paraId="51C838CA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09376F23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Rukovodilac organizacione jedinice/službe obavezan je u roku od sedam dana od dana identifikacije novog rizika da dostavi Obrazac – identifikacija rizika.   </w:t>
      </w:r>
    </w:p>
    <w:p w14:paraId="2EAF3C5A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Rukovodilac organizacione jedinice/službe obavezan je u roku od sedam dana od dana identifikovane promene rizika po bilo kom osnovu da dostavi Obrazac – identifikacija rizika. </w:t>
      </w:r>
    </w:p>
    <w:p w14:paraId="13AB09BC" w14:textId="77777777" w:rsidR="00F457F9" w:rsidRPr="0081059E" w:rsidRDefault="00F457F9" w:rsidP="00F457F9">
      <w:pPr>
        <w:spacing w:before="60"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Rukovodilac organizacione jedinice/službe obavezan je u roku od sedam dana od dana završeta sprovođenja mera postupanja po rizicima da dostavi Obrazac – identifikacija rizika.   </w:t>
      </w:r>
    </w:p>
    <w:p w14:paraId="23A13E40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BDDE5A1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22. </w:t>
      </w:r>
    </w:p>
    <w:p w14:paraId="0ABF3D2A" w14:textId="77777777" w:rsidR="00F457F9" w:rsidRPr="0081059E" w:rsidRDefault="00F457F9" w:rsidP="00F457F9">
      <w:pPr>
        <w:spacing w:after="0" w:line="240" w:lineRule="auto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659A287B" w14:textId="77777777" w:rsidR="00F457F9" w:rsidRPr="0081059E" w:rsidRDefault="00F457F9" w:rsidP="00F457F9">
      <w:pPr>
        <w:spacing w:after="0" w:line="240" w:lineRule="auto"/>
        <w:ind w:firstLine="708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Rukovodilac organizacione jedinice/službe Obrazac – Identifikacija rizika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 prosleđuje koordinatoru za rizike, u rokovima iz člana 21. ove Strategije.</w:t>
      </w:r>
    </w:p>
    <w:p w14:paraId="660FE7AC" w14:textId="77777777" w:rsidR="00F457F9" w:rsidRPr="0081059E" w:rsidRDefault="00F457F9" w:rsidP="00F457F9">
      <w:pPr>
        <w:spacing w:after="0" w:line="240" w:lineRule="auto"/>
        <w:ind w:firstLine="708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0B37AE65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22A044C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23. </w:t>
      </w:r>
    </w:p>
    <w:p w14:paraId="50F3CCD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4076B31" w14:textId="77777777" w:rsidR="00F457F9" w:rsidRPr="0081059E" w:rsidRDefault="00F457F9" w:rsidP="00F457F9">
      <w:pPr>
        <w:spacing w:after="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Kooridnator za rizike na osnovu Obrasca - Identifikacija rizika vrši ažuriranje Registara rizika, u roku od tri radna dana od njegovog prijema.</w:t>
      </w:r>
    </w:p>
    <w:p w14:paraId="1BA80B06" w14:textId="77777777" w:rsidR="00F457F9" w:rsidRPr="0081059E" w:rsidRDefault="00F457F9" w:rsidP="00F457F9">
      <w:pPr>
        <w:spacing w:after="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Na osnovu odluke iz stava 4, člana 14. ove Strategije koordinator za rizike vrši ažuriranje Registra rizika, u roku od tri radna dana prijema odluke.</w:t>
      </w:r>
    </w:p>
    <w:p w14:paraId="18BB9EF4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0CDABD6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24. </w:t>
      </w:r>
    </w:p>
    <w:p w14:paraId="1D462F99" w14:textId="77777777" w:rsidR="00F457F9" w:rsidRPr="0081059E" w:rsidRDefault="00F457F9" w:rsidP="00F457F9">
      <w:pPr>
        <w:autoSpaceDE w:val="0"/>
        <w:spacing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</w:p>
    <w:p w14:paraId="289CC7FE" w14:textId="77777777" w:rsidR="00F457F9" w:rsidRPr="0081059E" w:rsidRDefault="00F457F9" w:rsidP="00F457F9">
      <w:pPr>
        <w:autoSpaceDE w:val="0"/>
        <w:spacing w:before="60" w:after="60" w:line="240" w:lineRule="auto"/>
        <w:ind w:firstLine="7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Praćenje i kontrola rizika kod kojih je procena značaja - visoka ili srednja vrši se kvartalno, a po potrebi i češće u skladu sa procenom odgovornog lica za njegovo praćenje i kontrolu, iz člana 18. stav 4. ove Strategije. </w:t>
      </w:r>
    </w:p>
    <w:p w14:paraId="21B112B9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1280692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1790CDD5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25. </w:t>
      </w:r>
    </w:p>
    <w:p w14:paraId="29352019" w14:textId="77777777" w:rsidR="00F457F9" w:rsidRPr="0081059E" w:rsidRDefault="00F457F9" w:rsidP="00F457F9">
      <w:pPr>
        <w:spacing w:after="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61D3000" w14:textId="77777777" w:rsidR="00F457F9" w:rsidRPr="0081059E" w:rsidRDefault="00F457F9" w:rsidP="00F457F9">
      <w:pPr>
        <w:spacing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Praćenje i izveštavanje o rizicima vrši odgovorno lice za finansijsko upravaljenje i kontrolu, u saradnji sa i koordinatorom za rizike.</w:t>
      </w:r>
    </w:p>
    <w:p w14:paraId="58C776CB" w14:textId="77777777" w:rsidR="00F457F9" w:rsidRPr="0081059E" w:rsidRDefault="00F457F9" w:rsidP="00F457F9">
      <w:pPr>
        <w:spacing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Izveštaji o rizicima koji su objedinjeni u okviru Registra rizika sastavljaju se najmanje dva puta godišnje za periode januar – jun i jul – decembar. </w:t>
      </w:r>
    </w:p>
    <w:p w14:paraId="77254141" w14:textId="7F703DA3" w:rsidR="00F457F9" w:rsidRDefault="00F457F9" w:rsidP="00F457F9">
      <w:pPr>
        <w:spacing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Odgovorno lice za finansijsko upravaljenje i kontrolu o izveštaju iz stava 2. ovog člana obaveštava rukovodioca korisnika javnih sredstava. </w:t>
      </w:r>
    </w:p>
    <w:p w14:paraId="0FF98556" w14:textId="77777777" w:rsidR="000F35F4" w:rsidRPr="0081059E" w:rsidRDefault="000F35F4" w:rsidP="00F457F9">
      <w:pPr>
        <w:spacing w:after="60" w:line="240" w:lineRule="auto"/>
        <w:ind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6B454FF3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b/>
          <w:noProof/>
          <w:sz w:val="18"/>
          <w:szCs w:val="20"/>
          <w:lang w:val="sr-Latn-CS"/>
        </w:rPr>
      </w:pPr>
    </w:p>
    <w:p w14:paraId="5D190880" w14:textId="77777777" w:rsidR="00F457F9" w:rsidRPr="0081059E" w:rsidRDefault="00F457F9" w:rsidP="00F457F9">
      <w:pPr>
        <w:autoSpaceDE w:val="0"/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V ODGOVORNOSTI U VEZI UPRAVLJANJA RIZICIMA</w:t>
      </w:r>
    </w:p>
    <w:p w14:paraId="2467EDA5" w14:textId="77777777" w:rsidR="00F457F9" w:rsidRPr="0081059E" w:rsidRDefault="00F457F9" w:rsidP="00F457F9">
      <w:pPr>
        <w:pStyle w:val="ListParagraph"/>
        <w:spacing w:after="0" w:line="240" w:lineRule="auto"/>
        <w:ind w:left="0"/>
        <w:contextualSpacing w:val="0"/>
        <w:jc w:val="both"/>
        <w:rPr>
          <w:sz w:val="18"/>
        </w:rPr>
      </w:pPr>
    </w:p>
    <w:p w14:paraId="42148FE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Član 26. </w:t>
      </w:r>
    </w:p>
    <w:p w14:paraId="29E2981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4F29DFF" w14:textId="77777777" w:rsidR="00F457F9" w:rsidRPr="0081059E" w:rsidRDefault="00F457F9" w:rsidP="00F457F9">
      <w:pPr>
        <w:pStyle w:val="ListParagraph"/>
        <w:spacing w:before="120" w:after="120"/>
        <w:ind w:left="0" w:firstLine="567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Odgovornosti rukovodioca korisnika javnih sredstava su da: </w:t>
      </w:r>
    </w:p>
    <w:p w14:paraId="1AA43D72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120" w:after="120"/>
        <w:ind w:left="1843"/>
        <w:jc w:val="both"/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obezbedi uslove za nesmentano upravljanje rizicima;</w:t>
      </w:r>
    </w:p>
    <w:p w14:paraId="29D5F0FE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120" w:after="120"/>
        <w:ind w:left="1843"/>
        <w:jc w:val="both"/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utvrdi odgovornosti u vezi upravljanja rizicima;</w:t>
      </w:r>
    </w:p>
    <w:p w14:paraId="0F8B0B0E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120" w:after="120"/>
        <w:ind w:left="1843"/>
        <w:jc w:val="both"/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usvoji predlog ciljeva upravljanja rizicima, iz člana 7. ove Strategije.</w:t>
      </w:r>
    </w:p>
    <w:p w14:paraId="6433D633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120" w:after="120"/>
        <w:ind w:left="1843"/>
        <w:jc w:val="both"/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sastavi godišnji izveštaj o finansijskom upravljanju i kontroli:</w:t>
      </w:r>
    </w:p>
    <w:p w14:paraId="33AD529F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120" w:after="120"/>
        <w:ind w:left="1843"/>
        <w:jc w:val="both"/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usvoji Strategiju upravljanja rizicima;</w:t>
      </w:r>
    </w:p>
    <w:p w14:paraId="1B476D6A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120" w:after="120"/>
        <w:ind w:left="1843"/>
        <w:jc w:val="both"/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ažurira Strategiju upravljanja rizicima u periodu od tri godine;</w:t>
      </w:r>
    </w:p>
    <w:p w14:paraId="1E3D3235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CBBE5A9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27.</w:t>
      </w:r>
    </w:p>
    <w:p w14:paraId="3F664608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51997F3D" w14:textId="77777777" w:rsidR="00F457F9" w:rsidRPr="0081059E" w:rsidRDefault="00F457F9" w:rsidP="00F457F9">
      <w:pPr>
        <w:pStyle w:val="ListParagraph"/>
        <w:spacing w:before="60" w:after="60"/>
        <w:ind w:left="0" w:firstLine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Odgovornosti radne grupe za rizike su da:</w:t>
      </w:r>
    </w:p>
    <w:p w14:paraId="08B33B4D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osigura i doprinese kvalitenom upravljnju rizicika kod korisnika javnih sredstava;</w:t>
      </w:r>
    </w:p>
    <w:p w14:paraId="5EF6C147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obezbedi sprovođenje kvalitetne komunikacije i izveštavanja o upravljanju rizicima na nivou korisnika;</w:t>
      </w:r>
    </w:p>
    <w:p w14:paraId="3B61A57F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izvrši anal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izu snaga i slabosti korisnika, odnosno šansi i opasnosti okruženja najmanje jednom godišnje, u skladu sa članom 14., stav 2. ove Strategije;</w:t>
      </w:r>
    </w:p>
    <w:p w14:paraId="2C16D7C6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donese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predlog procene značaja rizika zajedno rukovodiocem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organizacione jedinice/službe kojoj rizik pripada, u skladu sa članom 15. ove Strategije.</w:t>
      </w:r>
    </w:p>
    <w:p w14:paraId="03608A38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do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nese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predlog plana postupanja za rizike za koje se proceni da su u kategoriji visokih i srednjih, u skladu sa članom 18. ove Strategije;</w:t>
      </w:r>
    </w:p>
    <w:p w14:paraId="29A33E2B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donese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predlog procedura za praćenje i kontrolu za rizike za koje se proceni da su u kategoriji visokih i srednjih nakon preduzetih mera, u skladu sa članom 18. ove Strategije; </w:t>
      </w:r>
    </w:p>
    <w:p w14:paraId="7694B775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sprovede ostale zadatke dobijene od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odgovornog lica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za finansijsko uprav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ljanje i kontrolu. </w:t>
      </w:r>
    </w:p>
    <w:p w14:paraId="424EFA6A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6AE99889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28.</w:t>
      </w:r>
    </w:p>
    <w:p w14:paraId="1E8DAC6B" w14:textId="77777777" w:rsidR="00F457F9" w:rsidRPr="0081059E" w:rsidRDefault="00F457F9" w:rsidP="00F457F9">
      <w:pPr>
        <w:spacing w:before="120" w:after="120"/>
        <w:jc w:val="both"/>
        <w:rPr>
          <w:sz w:val="18"/>
        </w:rPr>
      </w:pPr>
    </w:p>
    <w:p w14:paraId="3C1C4709" w14:textId="77777777" w:rsidR="00F457F9" w:rsidRPr="0081059E" w:rsidRDefault="00F457F9" w:rsidP="00F457F9">
      <w:pPr>
        <w:pStyle w:val="ListParagraph"/>
        <w:spacing w:before="60" w:after="60"/>
        <w:ind w:left="0" w:firstLine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Odgovornosti odgovornog lica za finansijsko upravljanje i kontrolu su da:</w:t>
      </w:r>
    </w:p>
    <w:p w14:paraId="23DDE6A8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obezbedi uslove za nesmentano upravljanje rizicima, u delu poverenih nadležnosti;</w:t>
      </w:r>
    </w:p>
    <w:p w14:paraId="12E69253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usvoji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predlog ciljeva upravljanja rizicima, iz člana 7. ove Strategije </w:t>
      </w:r>
    </w:p>
    <w:p w14:paraId="32884515" w14:textId="77777777" w:rsidR="00F457F9" w:rsidRPr="0081059E" w:rsidRDefault="00F457F9" w:rsidP="00F457F9">
      <w:pPr>
        <w:pStyle w:val="ListParagraph"/>
        <w:numPr>
          <w:ilvl w:val="0"/>
          <w:numId w:val="30"/>
        </w:numPr>
        <w:spacing w:before="60" w:after="60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obezbedi da se Strategija upravljanja rizicima ažurira najmanje u periodu od tri godine;</w:t>
      </w:r>
    </w:p>
    <w:p w14:paraId="30CF02AF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lastRenderedPageBreak/>
        <w:t>bude informisan o snagama i slabostima korisnika, odnosno šansama i opasnostima okruženja, u skladu sa članom 14. ove Strategije;</w:t>
      </w:r>
    </w:p>
    <w:p w14:paraId="10A6B511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donese odluku o indektifikovanju novih, odnosno izmeni postojećih rizika, najkasnije 10 dana pre isteka kalendarske godine na osnovu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izveštaja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o snagama i slabostima korisnika, odnosno šansama i opasnostima okruženja, u skladu sa članom 14. ove Strategije; </w:t>
      </w:r>
    </w:p>
    <w:p w14:paraId="667CF735" w14:textId="77777777" w:rsidR="00F457F9" w:rsidRPr="004E2A91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donese odluku o nastanku vanrednih okolnosti koje zahtevaju posebnu analizu snaga i slabosti korisnika, odnosno šansi i opasnosti okružeja, u skladu sa članom 14. ove Strategije; </w:t>
      </w:r>
    </w:p>
    <w:p w14:paraId="6324A8A2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daje saglasnost na predlog procene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značaja rizika koji utvrđuje radna grupa za rizike i rukovodilac organizacione jedinice/službe kojoj rizik pripada, u skladu sa članom 15. ove Strategije;</w:t>
      </w:r>
    </w:p>
    <w:p w14:paraId="10663CC6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utvrđuje mere postupanja po rizicima u saradnji sa rukovodiocem organizacione jedinice/službe prema pripadnosti rizika, u skladu sa članom 17. ove Strategije;</w:t>
      </w:r>
    </w:p>
    <w:p w14:paraId="3D363D50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analizira i ažurira utvrđene mere postupanja po rizicima u saradnji sa rukovodioca organizacione jedinice prema pripadnosti rizika najmanje jednom godišnje, u skladu sa članom 17. ove Strategije;</w:t>
      </w:r>
    </w:p>
    <w:p w14:paraId="64DB078B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donese plan postupanja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za rizike za koje se proceni da su u kategoriji visokih i srednjih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, na predlog radne grupe,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 a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u saradnji sa odgovornim licem organizacione jedinice/službe kojoj rizik pripada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>,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 u skladu sa članom 18. ove Strategije;</w:t>
      </w:r>
    </w:p>
    <w:p w14:paraId="41BD4566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imenuje odgovorno lice za praćenje i kontrolu rizika nakon preduzetih mera postupanja po rizicima prema utvrđenom planu, u saradnji sa odgovornim licem organizacione jedinice/službe kojoj rizik pripada, u skladu sa članom 18. ove Strategije;</w:t>
      </w:r>
    </w:p>
    <w:p w14:paraId="151C3518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utvrdi mere za praćenje i kontrolu  rizicika nakon preduzetih mera postupanja po rizicima, u saradnji sa rukovodiocem organizacione jedinice kojoj rizik pripada, u skladu sa članom 18. ove Strategije;</w:t>
      </w:r>
    </w:p>
    <w:p w14:paraId="762DA7CB" w14:textId="77777777" w:rsidR="00F457F9" w:rsidRPr="0081059E" w:rsidRDefault="00F457F9" w:rsidP="00F457F9">
      <w:pPr>
        <w:pStyle w:val="ListParagraph"/>
        <w:numPr>
          <w:ilvl w:val="0"/>
          <w:numId w:val="27"/>
        </w:numPr>
        <w:spacing w:before="60" w:after="60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izvrši praćenje i izveštavanje o rizicima koje dostavlja rukovodiocu korisnika javnih sredstava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 najmanje dva puta godišnje,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u skladu sa članom 25. ove Strategije;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8AFAED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EC92A63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29.</w:t>
      </w:r>
    </w:p>
    <w:p w14:paraId="066C256F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DE4C466" w14:textId="77777777" w:rsidR="00F457F9" w:rsidRPr="0081059E" w:rsidRDefault="00F457F9" w:rsidP="00F457F9">
      <w:pPr>
        <w:pStyle w:val="ListParagraph"/>
        <w:spacing w:before="60" w:after="60"/>
        <w:ind w:left="0" w:firstLine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Odgovornosti koordinatora za rizike su sledeće:</w:t>
      </w:r>
    </w:p>
    <w:p w14:paraId="4C4F7C48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dostavi izveštaj o analizi snaga i slabosti korisnika, odnosno šansama i opasnostima okruženja, u skladu sa članom 14. ove Strategije.</w:t>
      </w:r>
    </w:p>
    <w:p w14:paraId="205FC07B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da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preduzme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aktivnosti u vezi sa prikupljanjem podataka o rizicima, u skladu sa članom 23. ove Strategije;</w:t>
      </w:r>
    </w:p>
    <w:p w14:paraId="1467FEDC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evidentira i ažurira podatke u Registru rizika, u skladu sa članom 23. ove Strategije;</w:t>
      </w:r>
    </w:p>
    <w:p w14:paraId="74A8FF08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lastRenderedPageBreak/>
        <w:t>da osigura pregledanje i kontrolu podataka o rizicima i po potrebi traži nove podatke i dopune ukoliko pojedini podaci nedostaju;</w:t>
      </w:r>
    </w:p>
    <w:p w14:paraId="124CD031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rukovodiocima dostavlja tačne podatke o upravljanju rizicima;</w:t>
      </w:r>
    </w:p>
    <w:p w14:paraId="27DBAC10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prati sprovođenje mera o postupanju po rizicima;</w:t>
      </w:r>
    </w:p>
    <w:p w14:paraId="3164A77F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pripremi izveštaj o upravljanju rizicima u saradnji sa odgovornim licem za finansijsko upravaljenje, u skladu sa članom 25. ove Strategije;</w:t>
      </w:r>
    </w:p>
    <w:p w14:paraId="7D7A8A20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upravlja i čuva dokumentaciju o upravljanju rizicima;</w:t>
      </w:r>
    </w:p>
    <w:p w14:paraId="6111E968" w14:textId="77777777" w:rsidR="00F457F9" w:rsidRPr="0081059E" w:rsidRDefault="00F457F9" w:rsidP="00F457F9">
      <w:pPr>
        <w:spacing w:after="0"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07341752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30.</w:t>
      </w:r>
    </w:p>
    <w:p w14:paraId="746F64C6" w14:textId="77777777" w:rsidR="00F457F9" w:rsidRPr="0081059E" w:rsidRDefault="00F457F9" w:rsidP="00F457F9">
      <w:pPr>
        <w:pStyle w:val="ListParagraph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7A04C6" w14:textId="77777777" w:rsidR="00F457F9" w:rsidRPr="0081059E" w:rsidRDefault="00F457F9" w:rsidP="00F457F9">
      <w:pPr>
        <w:spacing w:before="120" w:after="12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Odgovornosti rukovodioca organizacione jedinice/službe su sledeće:</w:t>
      </w:r>
    </w:p>
    <w:p w14:paraId="14162215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svakodnevno upravlja rizicima u okviru svoje organizacione jedinice/službe;</w:t>
      </w:r>
    </w:p>
    <w:p w14:paraId="302646BD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obezbedi sprovođenje usvojenih procedura i mera upravljanja rizicima u okviru svoje organizacione jedinice/sl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užbe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;</w:t>
      </w:r>
    </w:p>
    <w:p w14:paraId="47748299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da obezbedi da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su zaposleni/izvršioci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svesni rizika, da razumeju procedure, da znaju šta treba da rade, odnosno kako da postupe povodom rizika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u okviru svoje organizacione jedinice/službe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;</w:t>
      </w:r>
    </w:p>
    <w:p w14:paraId="5BC2FB6D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prihvati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efekte procene rizika na promenu organizacije rada i poslovna unapređenja unutar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organizacione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jedinice koj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om rukovodi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;</w:t>
      </w:r>
    </w:p>
    <w:p w14:paraId="62346840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potpiše Obrazac - Identifikacija rizika zajedno sa zap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oslenim, odnosno izvršiocem koji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ga je sastavilo, u skladu sa članom 10. ove Strategije.</w:t>
      </w:r>
    </w:p>
    <w:p w14:paraId="0F904F6C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da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daje predlog procene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značaja rizika zajedno sa članovima radn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e grupe, u skladu sa članom 15.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ove Strategije;</w:t>
      </w:r>
    </w:p>
    <w:p w14:paraId="2E43927D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/>
          <w:noProof/>
          <w:sz w:val="18"/>
          <w:szCs w:val="20"/>
          <w:lang w:val="sr-Latn-CS"/>
        </w:rPr>
        <w:t>da utvrdi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 mere postupanja po rizicima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 iz svoje organizacione jedinice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 u saradnji sa odgovornim licem za finansijsko – upravljanje i kontrolu, u skladu sa članom 17. ove Strategije.</w:t>
      </w:r>
    </w:p>
    <w:p w14:paraId="71579E59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da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analizira i ažurira utvrđene mere postupanja po rizicima u saradnji sa odgovornim licem za finansijsko upravljanje i kontrolu, najmanje jednom godišnje, u skladu sa članom 17. ove Strategije;</w:t>
      </w:r>
    </w:p>
    <w:p w14:paraId="4962AD79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da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donese plan postupanja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za rizike za koje se proceni da su u kategoriji visokih i srednjih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, na predlog radne grupe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>,</w:t>
      </w:r>
      <w:r w:rsidRPr="008E55D7">
        <w:rPr>
          <w:rFonts w:ascii="BatangChe" w:eastAsia="BatangChe" w:hAnsi="BatangChe"/>
          <w:noProof/>
          <w:sz w:val="18"/>
          <w:szCs w:val="20"/>
          <w:lang w:val="sr-Latn-CS"/>
        </w:rPr>
        <w:t xml:space="preserve">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u saradnji sa odgovornim licem za finansijsko upravljanje i kontrolu, u skladu sa članom 18. ove Strategije;</w:t>
      </w:r>
    </w:p>
    <w:p w14:paraId="69A5DF95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da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imenuje odgovorno lice 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iz svoje službe 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za praćenje i kontrolu rizika 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>po preduzetim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 mera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>ma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 xml:space="preserve"> prema utvrđenom planu, u saradnji sa odgovornim licem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za finansijsko upravljnje i kontrolu</w:t>
      </w:r>
      <w:r w:rsidRPr="0081059E">
        <w:rPr>
          <w:rFonts w:ascii="BatangChe" w:eastAsia="BatangChe" w:hAnsi="BatangChe"/>
          <w:noProof/>
          <w:sz w:val="18"/>
          <w:szCs w:val="20"/>
          <w:lang w:val="sr-Latn-CS"/>
        </w:rPr>
        <w:t>, u skladu sa članom 18. ove Strategije;</w:t>
      </w:r>
    </w:p>
    <w:p w14:paraId="1B7F5529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lastRenderedPageBreak/>
        <w:t>da utvrdi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mere za praćenje i kontrolu  rizika nakon preduzetih mera postupanja po rizicima u saradnji sa odgovornim licem za finansijsko upravljanje i kontrolu, u skladu sa članom 18. ove Strategije;</w:t>
      </w:r>
    </w:p>
    <w:p w14:paraId="7EF2CD4C" w14:textId="77777777" w:rsidR="00F457F9" w:rsidRPr="0081059E" w:rsidRDefault="00F457F9" w:rsidP="00F457F9">
      <w:pPr>
        <w:pStyle w:val="ListParagraph"/>
        <w:numPr>
          <w:ilvl w:val="0"/>
          <w:numId w:val="32"/>
        </w:numPr>
        <w:spacing w:before="60" w:after="60"/>
        <w:ind w:left="1843" w:hanging="567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da dostavi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Obrazac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– I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dentifikacija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rizika koordinatoru za rizike, u skladu sa članom 20.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ove Strategije, u rokovima iz člana 21. ove Strategije.</w:t>
      </w:r>
    </w:p>
    <w:p w14:paraId="43BAE0C8" w14:textId="77777777" w:rsidR="00F457F9" w:rsidRPr="0081059E" w:rsidRDefault="00F457F9" w:rsidP="00F457F9">
      <w:pPr>
        <w:pStyle w:val="ListParagraph"/>
        <w:spacing w:after="0" w:line="240" w:lineRule="auto"/>
        <w:ind w:left="1843"/>
        <w:contextualSpacing w:val="0"/>
        <w:jc w:val="both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734E4261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31.</w:t>
      </w:r>
    </w:p>
    <w:p w14:paraId="1C556865" w14:textId="77777777" w:rsidR="00F457F9" w:rsidRPr="0081059E" w:rsidRDefault="00F457F9" w:rsidP="00F457F9">
      <w:pPr>
        <w:spacing w:before="120" w:after="120"/>
        <w:jc w:val="both"/>
        <w:rPr>
          <w:sz w:val="18"/>
        </w:rPr>
      </w:pPr>
    </w:p>
    <w:p w14:paraId="1392A690" w14:textId="77777777" w:rsidR="00F457F9" w:rsidRPr="00E6236F" w:rsidRDefault="00F457F9" w:rsidP="00F457F9">
      <w:pPr>
        <w:spacing w:before="120" w:after="12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 xml:space="preserve">Odgovornosti izvršilaca/zaposlenih su da: </w:t>
      </w:r>
    </w:p>
    <w:p w14:paraId="7C0C9ACE" w14:textId="77777777" w:rsidR="00F457F9" w:rsidRPr="00E6236F" w:rsidRDefault="00F457F9" w:rsidP="00F457F9">
      <w:pPr>
        <w:pStyle w:val="ListParagraph"/>
        <w:numPr>
          <w:ilvl w:val="0"/>
          <w:numId w:val="28"/>
        </w:numPr>
        <w:spacing w:before="60" w:after="60" w:line="240" w:lineRule="auto"/>
        <w:ind w:left="1843" w:hanging="357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>se ponaša u skladu sa datim merama postupanja po rizicma;</w:t>
      </w:r>
    </w:p>
    <w:p w14:paraId="0A9BCF65" w14:textId="77777777" w:rsidR="00F457F9" w:rsidRPr="00E6236F" w:rsidRDefault="00F457F9" w:rsidP="00F457F9">
      <w:pPr>
        <w:pStyle w:val="ListParagraph"/>
        <w:numPr>
          <w:ilvl w:val="0"/>
          <w:numId w:val="28"/>
        </w:numPr>
        <w:spacing w:before="60" w:after="60" w:line="240" w:lineRule="auto"/>
        <w:ind w:left="1843" w:hanging="357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>identifikuje moguće rizike povodom izvršenja svojih zadataka i ciljeva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 na obrascu – Identifikacija rizika</w:t>
      </w: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>, u skladu sa članom 10. ove Strategije;</w:t>
      </w:r>
    </w:p>
    <w:p w14:paraId="1670013A" w14:textId="77777777" w:rsidR="00F457F9" w:rsidRPr="00BA2431" w:rsidRDefault="00F457F9" w:rsidP="00F457F9">
      <w:pPr>
        <w:pStyle w:val="ListParagraph"/>
        <w:numPr>
          <w:ilvl w:val="0"/>
          <w:numId w:val="28"/>
        </w:numPr>
        <w:spacing w:before="60" w:after="60" w:line="240" w:lineRule="auto"/>
        <w:ind w:left="1843" w:hanging="357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>vrši praćenje i kontrolu rizika ukoliko je imenovano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 lice za praćenje rizika </w:t>
      </w:r>
      <w:r w:rsidRPr="00BA2431">
        <w:rPr>
          <w:rFonts w:ascii="BatangChe" w:eastAsia="BatangChe" w:hAnsi="BatangChe"/>
          <w:noProof/>
          <w:sz w:val="18"/>
          <w:szCs w:val="20"/>
          <w:lang w:val="sr-Latn-CS"/>
        </w:rPr>
        <w:t>i o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 rezultatima praćenja obavesti rukovodioca</w:t>
      </w:r>
      <w:r w:rsidRPr="00BA2431">
        <w:rPr>
          <w:rFonts w:ascii="BatangChe" w:eastAsia="BatangChe" w:hAnsi="BatangChe"/>
          <w:noProof/>
          <w:sz w:val="18"/>
          <w:szCs w:val="20"/>
          <w:lang w:val="sr-Latn-CS"/>
        </w:rPr>
        <w:t xml:space="preserve"> organizacione jedinice/službe, u skladu sa članom 18. ove Strategije;</w:t>
      </w:r>
    </w:p>
    <w:p w14:paraId="61EBD600" w14:textId="77777777" w:rsidR="00F457F9" w:rsidRPr="00E6236F" w:rsidRDefault="00F457F9" w:rsidP="00F457F9">
      <w:pPr>
        <w:pStyle w:val="ListParagraph"/>
        <w:numPr>
          <w:ilvl w:val="0"/>
          <w:numId w:val="28"/>
        </w:numPr>
        <w:spacing w:before="60" w:after="60" w:line="240" w:lineRule="auto"/>
        <w:ind w:left="1843" w:hanging="357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>neposrednog rukovodioca upozna sa novim rizicima ili izmenama postojećih;</w:t>
      </w:r>
    </w:p>
    <w:p w14:paraId="2F7DA63A" w14:textId="77777777" w:rsidR="00F457F9" w:rsidRPr="00E6236F" w:rsidRDefault="00F457F9" w:rsidP="00F457F9">
      <w:pPr>
        <w:pStyle w:val="ListParagraph"/>
        <w:numPr>
          <w:ilvl w:val="0"/>
          <w:numId w:val="28"/>
        </w:numPr>
        <w:spacing w:before="60" w:after="60" w:line="240" w:lineRule="auto"/>
        <w:ind w:left="1843" w:hanging="357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>primenjuje kontrolne mehanizme vazane za praćenje i procenu rizika;</w:t>
      </w:r>
    </w:p>
    <w:p w14:paraId="025ECBF3" w14:textId="77777777" w:rsidR="00F457F9" w:rsidRPr="00E6236F" w:rsidRDefault="00F457F9" w:rsidP="00F457F9">
      <w:pPr>
        <w:pStyle w:val="ListParagraph"/>
        <w:numPr>
          <w:ilvl w:val="0"/>
          <w:numId w:val="28"/>
        </w:numPr>
        <w:spacing w:before="60" w:after="60" w:line="240" w:lineRule="auto"/>
        <w:ind w:left="1843" w:hanging="357"/>
        <w:contextualSpacing w:val="0"/>
        <w:jc w:val="both"/>
        <w:rPr>
          <w:rFonts w:ascii="BatangChe" w:eastAsia="BatangChe" w:hAnsi="BatangChe"/>
          <w:noProof/>
          <w:sz w:val="18"/>
          <w:szCs w:val="20"/>
          <w:lang w:val="sr-Latn-CS"/>
        </w:rPr>
      </w:pP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>razume prirodu rizika i način kako da reaguje</w:t>
      </w:r>
      <w:r>
        <w:rPr>
          <w:rFonts w:ascii="BatangChe" w:eastAsia="BatangChe" w:hAnsi="BatangChe"/>
          <w:noProof/>
          <w:sz w:val="18"/>
          <w:szCs w:val="20"/>
          <w:lang w:val="sr-Latn-CS"/>
        </w:rPr>
        <w:t xml:space="preserve"> u okviru poverenih poslova</w:t>
      </w:r>
      <w:r w:rsidRPr="00E6236F">
        <w:rPr>
          <w:rFonts w:ascii="BatangChe" w:eastAsia="BatangChe" w:hAnsi="BatangChe"/>
          <w:noProof/>
          <w:sz w:val="18"/>
          <w:szCs w:val="20"/>
          <w:lang w:val="sr-Latn-CS"/>
        </w:rPr>
        <w:t>.</w:t>
      </w:r>
    </w:p>
    <w:p w14:paraId="09C2EAB2" w14:textId="77777777" w:rsidR="00F457F9" w:rsidRPr="00E6236F" w:rsidRDefault="00F457F9" w:rsidP="00F457F9">
      <w:pPr>
        <w:pStyle w:val="ListParagraph"/>
        <w:spacing w:before="60" w:after="60" w:line="240" w:lineRule="auto"/>
        <w:ind w:left="1843"/>
        <w:contextualSpacing w:val="0"/>
        <w:jc w:val="both"/>
        <w:rPr>
          <w:rFonts w:eastAsia="BatangChe" w:cstheme="minorHAnsi"/>
          <w:noProof/>
          <w:sz w:val="20"/>
          <w:szCs w:val="20"/>
          <w:lang w:val="sr-Latn-CS"/>
        </w:rPr>
      </w:pPr>
    </w:p>
    <w:p w14:paraId="15B251BC" w14:textId="77777777" w:rsidR="00F457F9" w:rsidRPr="0081059E" w:rsidRDefault="00F457F9" w:rsidP="00F457F9">
      <w:pPr>
        <w:autoSpaceDE w:val="0"/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VI. PRELAZNE I ZAVRŠNE ODREDBE</w:t>
      </w:r>
    </w:p>
    <w:p w14:paraId="74F66410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B69B569" w14:textId="77777777" w:rsidR="00F457F9" w:rsidRPr="0081059E" w:rsidRDefault="00F457F9" w:rsidP="00F457F9">
      <w:pPr>
        <w:spacing w:after="0" w:line="240" w:lineRule="auto"/>
        <w:jc w:val="center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Član 32.</w:t>
      </w:r>
    </w:p>
    <w:p w14:paraId="1161351E" w14:textId="77777777" w:rsidR="00F457F9" w:rsidRPr="0081059E" w:rsidRDefault="00F457F9" w:rsidP="00F457F9">
      <w:pPr>
        <w:pStyle w:val="BodyText"/>
        <w:jc w:val="left"/>
      </w:pPr>
    </w:p>
    <w:p w14:paraId="593F8DAC" w14:textId="77777777" w:rsidR="00F457F9" w:rsidRPr="0081059E" w:rsidRDefault="00F457F9" w:rsidP="00F457F9">
      <w:pPr>
        <w:pStyle w:val="BodyText"/>
        <w:ind w:firstLine="708"/>
        <w:jc w:val="left"/>
        <w:rPr>
          <w:rFonts w:ascii="BatangChe" w:eastAsia="BatangChe" w:hAnsi="BatangChe" w:cstheme="minorHAnsi"/>
          <w:noProof/>
          <w:sz w:val="18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lang w:val="sr-Latn-CS"/>
        </w:rPr>
        <w:t xml:space="preserve">Ova Strategija stupa na snagu osmog dana od dana </w:t>
      </w:r>
      <w:r>
        <w:rPr>
          <w:rFonts w:ascii="BatangChe" w:eastAsia="BatangChe" w:hAnsi="BatangChe" w:cstheme="minorHAnsi"/>
          <w:noProof/>
          <w:sz w:val="18"/>
          <w:lang w:val="sr-Latn-CS"/>
        </w:rPr>
        <w:t>objavljivanja</w:t>
      </w:r>
      <w:r w:rsidRPr="0081059E">
        <w:rPr>
          <w:rFonts w:ascii="BatangChe" w:eastAsia="BatangChe" w:hAnsi="BatangChe" w:cstheme="minorHAnsi"/>
          <w:noProof/>
          <w:sz w:val="18"/>
          <w:lang w:val="sr-Latn-CS"/>
        </w:rPr>
        <w:t xml:space="preserve"> na oglasnoj tabli korisnika javnih sredstava.</w:t>
      </w:r>
    </w:p>
    <w:p w14:paraId="762AEE27" w14:textId="77777777" w:rsidR="00F457F9" w:rsidRPr="0081059E" w:rsidRDefault="00F457F9" w:rsidP="00F457F9">
      <w:pPr>
        <w:pStyle w:val="A"/>
        <w:spacing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FCBE35D" w14:textId="77777777" w:rsidR="000F35F4" w:rsidRDefault="00F457F9" w:rsidP="00F457F9">
      <w:pPr>
        <w:pStyle w:val="A"/>
        <w:spacing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Broj: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</w:t>
      </w:r>
      <w:r w:rsidR="000F35F4">
        <w:rPr>
          <w:rFonts w:ascii="BatangChe" w:eastAsia="BatangChe" w:hAnsi="BatangChe" w:cstheme="minorHAnsi"/>
          <w:noProof/>
          <w:sz w:val="18"/>
          <w:szCs w:val="20"/>
          <w:lang w:val="sr-Latn-CS"/>
        </w:rPr>
        <w:t>289/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20</w:t>
      </w:r>
      <w:r w:rsidR="000F35F4">
        <w:rPr>
          <w:rFonts w:ascii="BatangChe" w:eastAsia="BatangChe" w:hAnsi="BatangChe" w:cstheme="minorHAnsi"/>
          <w:noProof/>
          <w:sz w:val="18"/>
          <w:szCs w:val="20"/>
          <w:lang w:val="sr-Latn-CS"/>
        </w:rPr>
        <w:t>23</w:t>
      </w:r>
    </w:p>
    <w:p w14:paraId="67FF32DF" w14:textId="2BD6CA90" w:rsidR="00F457F9" w:rsidRPr="0081059E" w:rsidRDefault="00F457F9" w:rsidP="00F457F9">
      <w:pPr>
        <w:pStyle w:val="A"/>
        <w:spacing w:line="240" w:lineRule="auto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br/>
        <w:t xml:space="preserve">U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Bezdanu, 2</w:t>
      </w:r>
      <w:r w:rsidR="000F35F4">
        <w:rPr>
          <w:rFonts w:ascii="BatangChe" w:eastAsia="BatangChe" w:hAnsi="BatangChe" w:cstheme="minorHAnsi"/>
          <w:noProof/>
          <w:sz w:val="18"/>
          <w:szCs w:val="20"/>
          <w:lang w:val="sr-Latn-CS"/>
        </w:rPr>
        <w:t>8.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11.</w:t>
      </w:r>
      <w:r w:rsidR="000F35F4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2023.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>godine</w:t>
      </w:r>
    </w:p>
    <w:p w14:paraId="444F73A5" w14:textId="77777777" w:rsidR="00F457F9" w:rsidRPr="0081059E" w:rsidRDefault="00F457F9" w:rsidP="00F457F9">
      <w:pPr>
        <w:pStyle w:val="C"/>
        <w:spacing w:line="240" w:lineRule="auto"/>
        <w:jc w:val="left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37146A97" w14:textId="77777777" w:rsidR="00F457F9" w:rsidRPr="0081059E" w:rsidRDefault="00F457F9" w:rsidP="00F457F9">
      <w:pPr>
        <w:pStyle w:val="C"/>
        <w:spacing w:line="240" w:lineRule="auto"/>
        <w:jc w:val="left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54A010B" w14:textId="77777777" w:rsidR="00F457F9" w:rsidRPr="0081059E" w:rsidRDefault="00F457F9" w:rsidP="00F457F9">
      <w:pPr>
        <w:pStyle w:val="C"/>
        <w:spacing w:line="240" w:lineRule="auto"/>
        <w:jc w:val="left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2316C2D6" w14:textId="77777777" w:rsidR="00F457F9" w:rsidRPr="0081059E" w:rsidRDefault="00F457F9" w:rsidP="00F457F9">
      <w:pPr>
        <w:pStyle w:val="C"/>
        <w:spacing w:line="240" w:lineRule="auto"/>
        <w:jc w:val="left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Odgovorno lice za finansijsko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  <w:t>Funkcioner/rukovodilac korisnika javnih</w:t>
      </w:r>
    </w:p>
    <w:p w14:paraId="3B3D5C4A" w14:textId="77777777" w:rsidR="00F457F9" w:rsidRPr="0081059E" w:rsidRDefault="00F457F9" w:rsidP="00F457F9">
      <w:pPr>
        <w:pStyle w:val="C"/>
        <w:spacing w:line="240" w:lineRule="auto"/>
        <w:jc w:val="left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upravljanje i kontrolu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ab/>
        <w:t>sredstava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br/>
      </w:r>
    </w:p>
    <w:p w14:paraId="3C0A66D6" w14:textId="77777777" w:rsidR="00F457F9" w:rsidRDefault="00F457F9" w:rsidP="00F457F9">
      <w:pPr>
        <w:pStyle w:val="C"/>
        <w:spacing w:line="240" w:lineRule="auto"/>
        <w:jc w:val="left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Pest   Slavica ,dipl.pravnik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               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                                    </w:t>
      </w:r>
      <w:r w:rsidRPr="0081059E">
        <w:rPr>
          <w:rFonts w:ascii="BatangChe" w:eastAsia="BatangChe" w:hAnsi="BatangChe" w:cstheme="minorHAnsi"/>
          <w:noProof/>
          <w:sz w:val="18"/>
          <w:szCs w:val="20"/>
          <w:lang w:val="sr-Latn-CS"/>
        </w:rPr>
        <w:t xml:space="preserve"> </w:t>
      </w:r>
      <w:r>
        <w:rPr>
          <w:rFonts w:ascii="BatangChe" w:eastAsia="BatangChe" w:hAnsi="BatangChe" w:cstheme="minorHAnsi"/>
          <w:noProof/>
          <w:sz w:val="18"/>
          <w:szCs w:val="20"/>
          <w:lang w:val="sr-Latn-CS"/>
        </w:rPr>
        <w:t>Kubatov Dejan, dipl.inž.teh.</w:t>
      </w:r>
    </w:p>
    <w:p w14:paraId="7618056B" w14:textId="77777777" w:rsidR="00F457F9" w:rsidRPr="00C31D21" w:rsidRDefault="00F457F9" w:rsidP="00F457F9">
      <w:pPr>
        <w:pStyle w:val="C"/>
        <w:spacing w:line="240" w:lineRule="auto"/>
        <w:jc w:val="left"/>
        <w:rPr>
          <w:rFonts w:ascii="BatangChe" w:eastAsia="BatangChe" w:hAnsi="BatangChe" w:cstheme="minorHAnsi"/>
          <w:noProof/>
          <w:sz w:val="18"/>
          <w:szCs w:val="20"/>
          <w:lang w:val="sr-Latn-CS"/>
        </w:rPr>
      </w:pPr>
    </w:p>
    <w:p w14:paraId="1294C65F" w14:textId="77777777" w:rsidR="008860DF" w:rsidRDefault="008860DF" w:rsidP="008860D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708ADE96" w14:textId="77777777" w:rsidR="00F457F9" w:rsidRPr="008860DF" w:rsidRDefault="008860DF" w:rsidP="00F457F9">
      <w:pPr>
        <w:pStyle w:val="ListParagraph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14:paraId="1A8A038D" w14:textId="77777777" w:rsidR="008860DF" w:rsidRPr="008860DF" w:rsidRDefault="008860DF" w:rsidP="00F457F9">
      <w:pPr>
        <w:pStyle w:val="ListParagraph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sectPr w:rsidR="008860DF" w:rsidRPr="008860DF" w:rsidSect="00805FD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3000000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6F8D"/>
    <w:multiLevelType w:val="hybridMultilevel"/>
    <w:tmpl w:val="456C9B04"/>
    <w:lvl w:ilvl="0" w:tplc="AED489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B2225"/>
    <w:multiLevelType w:val="hybridMultilevel"/>
    <w:tmpl w:val="254E7534"/>
    <w:lvl w:ilvl="0" w:tplc="AED489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473236"/>
    <w:multiLevelType w:val="hybridMultilevel"/>
    <w:tmpl w:val="FC2CE4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731C9"/>
    <w:multiLevelType w:val="hybridMultilevel"/>
    <w:tmpl w:val="FC9C8C26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B46E1"/>
    <w:multiLevelType w:val="multilevel"/>
    <w:tmpl w:val="ACA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25DD5"/>
    <w:multiLevelType w:val="hybridMultilevel"/>
    <w:tmpl w:val="9CBA3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C150F"/>
    <w:multiLevelType w:val="hybridMultilevel"/>
    <w:tmpl w:val="3E42E028"/>
    <w:lvl w:ilvl="0" w:tplc="D7208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4E5233"/>
    <w:multiLevelType w:val="hybridMultilevel"/>
    <w:tmpl w:val="6032D504"/>
    <w:lvl w:ilvl="0" w:tplc="0EBA35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7731935"/>
    <w:multiLevelType w:val="hybridMultilevel"/>
    <w:tmpl w:val="0DA243E8"/>
    <w:lvl w:ilvl="0" w:tplc="189461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86BBF"/>
    <w:multiLevelType w:val="hybridMultilevel"/>
    <w:tmpl w:val="2054BB46"/>
    <w:lvl w:ilvl="0" w:tplc="8230055E">
      <w:start w:val="1"/>
      <w:numFmt w:val="decimal"/>
      <w:lvlText w:val="%1."/>
      <w:lvlJc w:val="left"/>
      <w:pPr>
        <w:ind w:left="2307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3027" w:hanging="360"/>
      </w:pPr>
    </w:lvl>
    <w:lvl w:ilvl="2" w:tplc="081A001B" w:tentative="1">
      <w:start w:val="1"/>
      <w:numFmt w:val="lowerRoman"/>
      <w:lvlText w:val="%3."/>
      <w:lvlJc w:val="right"/>
      <w:pPr>
        <w:ind w:left="3747" w:hanging="180"/>
      </w:pPr>
    </w:lvl>
    <w:lvl w:ilvl="3" w:tplc="081A000F" w:tentative="1">
      <w:start w:val="1"/>
      <w:numFmt w:val="decimal"/>
      <w:lvlText w:val="%4."/>
      <w:lvlJc w:val="left"/>
      <w:pPr>
        <w:ind w:left="4467" w:hanging="360"/>
      </w:pPr>
    </w:lvl>
    <w:lvl w:ilvl="4" w:tplc="081A0019" w:tentative="1">
      <w:start w:val="1"/>
      <w:numFmt w:val="lowerLetter"/>
      <w:lvlText w:val="%5."/>
      <w:lvlJc w:val="left"/>
      <w:pPr>
        <w:ind w:left="5187" w:hanging="360"/>
      </w:pPr>
    </w:lvl>
    <w:lvl w:ilvl="5" w:tplc="081A001B" w:tentative="1">
      <w:start w:val="1"/>
      <w:numFmt w:val="lowerRoman"/>
      <w:lvlText w:val="%6."/>
      <w:lvlJc w:val="right"/>
      <w:pPr>
        <w:ind w:left="5907" w:hanging="180"/>
      </w:pPr>
    </w:lvl>
    <w:lvl w:ilvl="6" w:tplc="081A000F" w:tentative="1">
      <w:start w:val="1"/>
      <w:numFmt w:val="decimal"/>
      <w:lvlText w:val="%7."/>
      <w:lvlJc w:val="left"/>
      <w:pPr>
        <w:ind w:left="6627" w:hanging="360"/>
      </w:pPr>
    </w:lvl>
    <w:lvl w:ilvl="7" w:tplc="081A0019" w:tentative="1">
      <w:start w:val="1"/>
      <w:numFmt w:val="lowerLetter"/>
      <w:lvlText w:val="%8."/>
      <w:lvlJc w:val="left"/>
      <w:pPr>
        <w:ind w:left="7347" w:hanging="360"/>
      </w:pPr>
    </w:lvl>
    <w:lvl w:ilvl="8" w:tplc="081A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10" w15:restartNumberingAfterBreak="0">
    <w:nsid w:val="29FB4C9B"/>
    <w:multiLevelType w:val="hybridMultilevel"/>
    <w:tmpl w:val="7CDEAD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262E3"/>
    <w:multiLevelType w:val="hybridMultilevel"/>
    <w:tmpl w:val="43267858"/>
    <w:lvl w:ilvl="0" w:tplc="A4DE507E">
      <w:numFmt w:val="bullet"/>
      <w:lvlText w:val="-"/>
      <w:lvlJc w:val="left"/>
      <w:pPr>
        <w:ind w:left="2359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079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799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519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239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959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679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399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119" w:hanging="360"/>
      </w:pPr>
      <w:rPr>
        <w:rFonts w:ascii="Wingdings" w:hAnsi="Wingdings" w:hint="default"/>
      </w:rPr>
    </w:lvl>
  </w:abstractNum>
  <w:abstractNum w:abstractNumId="12" w15:restartNumberingAfterBreak="0">
    <w:nsid w:val="2BB7400D"/>
    <w:multiLevelType w:val="hybridMultilevel"/>
    <w:tmpl w:val="157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2088A"/>
    <w:multiLevelType w:val="hybridMultilevel"/>
    <w:tmpl w:val="52E224C0"/>
    <w:lvl w:ilvl="0" w:tplc="55FADE94">
      <w:numFmt w:val="bullet"/>
      <w:lvlText w:val="–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2C9C1D26"/>
    <w:multiLevelType w:val="hybridMultilevel"/>
    <w:tmpl w:val="D29C6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D4F4A"/>
    <w:multiLevelType w:val="hybridMultilevel"/>
    <w:tmpl w:val="149CF128"/>
    <w:lvl w:ilvl="0" w:tplc="08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C6B57"/>
    <w:multiLevelType w:val="hybridMultilevel"/>
    <w:tmpl w:val="167E5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230F1"/>
    <w:multiLevelType w:val="hybridMultilevel"/>
    <w:tmpl w:val="B1D001B2"/>
    <w:lvl w:ilvl="0" w:tplc="2786AF54">
      <w:start w:val="1"/>
      <w:numFmt w:val="bullet"/>
      <w:lvlText w:val="-"/>
      <w:lvlJc w:val="left"/>
      <w:pPr>
        <w:ind w:left="2667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6987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7707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8427" w:hanging="360"/>
      </w:pPr>
      <w:rPr>
        <w:rFonts w:ascii="Wingdings" w:hAnsi="Wingdings" w:hint="default"/>
      </w:rPr>
    </w:lvl>
  </w:abstractNum>
  <w:abstractNum w:abstractNumId="18" w15:restartNumberingAfterBreak="0">
    <w:nsid w:val="54352C0E"/>
    <w:multiLevelType w:val="hybridMultilevel"/>
    <w:tmpl w:val="F5182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00BFB"/>
    <w:multiLevelType w:val="hybridMultilevel"/>
    <w:tmpl w:val="8CB48102"/>
    <w:lvl w:ilvl="0" w:tplc="43B01B02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281A0003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0" w15:restartNumberingAfterBreak="0">
    <w:nsid w:val="591E1F02"/>
    <w:multiLevelType w:val="hybridMultilevel"/>
    <w:tmpl w:val="5FACA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05120B"/>
    <w:multiLevelType w:val="multilevel"/>
    <w:tmpl w:val="E5DA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B67BE0"/>
    <w:multiLevelType w:val="hybridMultilevel"/>
    <w:tmpl w:val="87847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24668"/>
    <w:multiLevelType w:val="hybridMultilevel"/>
    <w:tmpl w:val="E1306F28"/>
    <w:lvl w:ilvl="0" w:tplc="D26C0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0C7031"/>
    <w:multiLevelType w:val="hybridMultilevel"/>
    <w:tmpl w:val="9C863932"/>
    <w:lvl w:ilvl="0" w:tplc="8D08EB4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11147"/>
    <w:multiLevelType w:val="hybridMultilevel"/>
    <w:tmpl w:val="A66E70F6"/>
    <w:lvl w:ilvl="0" w:tplc="7162200A">
      <w:numFmt w:val="bullet"/>
      <w:lvlText w:val=""/>
      <w:lvlJc w:val="left"/>
      <w:pPr>
        <w:ind w:left="1636" w:hanging="360"/>
      </w:pPr>
      <w:rPr>
        <w:rFonts w:ascii="Symbol" w:eastAsiaTheme="minorEastAsia" w:hAnsi="Symbol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6CFF2F75"/>
    <w:multiLevelType w:val="hybridMultilevel"/>
    <w:tmpl w:val="93D0F99E"/>
    <w:lvl w:ilvl="0" w:tplc="AED4896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3F2E3F"/>
    <w:multiLevelType w:val="hybridMultilevel"/>
    <w:tmpl w:val="55B20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4484D"/>
    <w:multiLevelType w:val="hybridMultilevel"/>
    <w:tmpl w:val="9170FEE2"/>
    <w:lvl w:ilvl="0" w:tplc="E438EFFE">
      <w:numFmt w:val="bullet"/>
      <w:lvlText w:val="-"/>
      <w:lvlJc w:val="left"/>
      <w:pPr>
        <w:ind w:left="1211" w:hanging="360"/>
      </w:pPr>
      <w:rPr>
        <w:rFonts w:ascii="Calibri" w:eastAsiaTheme="minorEastAsia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 w15:restartNumberingAfterBreak="0">
    <w:nsid w:val="75FB7547"/>
    <w:multiLevelType w:val="hybridMultilevel"/>
    <w:tmpl w:val="EF9E2F08"/>
    <w:lvl w:ilvl="0" w:tplc="19B0FE2E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25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7"/>
  </w:num>
  <w:num w:numId="8">
    <w:abstractNumId w:val="11"/>
  </w:num>
  <w:num w:numId="9">
    <w:abstractNumId w:val="4"/>
  </w:num>
  <w:num w:numId="10">
    <w:abstractNumId w:val="21"/>
  </w:num>
  <w:num w:numId="11">
    <w:abstractNumId w:val="7"/>
  </w:num>
  <w:num w:numId="12">
    <w:abstractNumId w:val="6"/>
  </w:num>
  <w:num w:numId="13">
    <w:abstractNumId w:val="18"/>
  </w:num>
  <w:num w:numId="14">
    <w:abstractNumId w:val="23"/>
  </w:num>
  <w:num w:numId="15">
    <w:abstractNumId w:val="15"/>
  </w:num>
  <w:num w:numId="16">
    <w:abstractNumId w:val="8"/>
  </w:num>
  <w:num w:numId="17">
    <w:abstractNumId w:val="20"/>
  </w:num>
  <w:num w:numId="18">
    <w:abstractNumId w:val="3"/>
  </w:num>
  <w:num w:numId="19">
    <w:abstractNumId w:val="2"/>
  </w:num>
  <w:num w:numId="20">
    <w:abstractNumId w:val="14"/>
  </w:num>
  <w:num w:numId="21">
    <w:abstractNumId w:val="27"/>
  </w:num>
  <w:num w:numId="22">
    <w:abstractNumId w:val="12"/>
  </w:num>
  <w:num w:numId="23">
    <w:abstractNumId w:val="22"/>
  </w:num>
  <w:num w:numId="24">
    <w:abstractNumId w:val="5"/>
  </w:num>
  <w:num w:numId="25">
    <w:abstractNumId w:val="10"/>
  </w:num>
  <w:num w:numId="26">
    <w:abstractNumId w:val="16"/>
  </w:num>
  <w:num w:numId="27">
    <w:abstractNumId w:val="19"/>
  </w:num>
  <w:num w:numId="28">
    <w:abstractNumId w:val="24"/>
  </w:num>
  <w:num w:numId="29">
    <w:abstractNumId w:val="26"/>
  </w:num>
  <w:num w:numId="30">
    <w:abstractNumId w:val="13"/>
  </w:num>
  <w:num w:numId="31">
    <w:abstractNumId w:val="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39D"/>
    <w:rsid w:val="00020595"/>
    <w:rsid w:val="00030006"/>
    <w:rsid w:val="00040410"/>
    <w:rsid w:val="00042E34"/>
    <w:rsid w:val="00046528"/>
    <w:rsid w:val="00054F54"/>
    <w:rsid w:val="0006148B"/>
    <w:rsid w:val="00096CD8"/>
    <w:rsid w:val="000A1040"/>
    <w:rsid w:val="000A1C17"/>
    <w:rsid w:val="000C748C"/>
    <w:rsid w:val="000E5109"/>
    <w:rsid w:val="000F2A51"/>
    <w:rsid w:val="000F35F4"/>
    <w:rsid w:val="00110D1F"/>
    <w:rsid w:val="00126700"/>
    <w:rsid w:val="00134F49"/>
    <w:rsid w:val="0014633E"/>
    <w:rsid w:val="00191422"/>
    <w:rsid w:val="00194648"/>
    <w:rsid w:val="001C01DD"/>
    <w:rsid w:val="001C2C7C"/>
    <w:rsid w:val="001C60C2"/>
    <w:rsid w:val="001D67CD"/>
    <w:rsid w:val="001F7D31"/>
    <w:rsid w:val="002004BF"/>
    <w:rsid w:val="002065C0"/>
    <w:rsid w:val="002122C4"/>
    <w:rsid w:val="00224F4F"/>
    <w:rsid w:val="00252FAB"/>
    <w:rsid w:val="00256B60"/>
    <w:rsid w:val="00265C3B"/>
    <w:rsid w:val="002704D0"/>
    <w:rsid w:val="00277080"/>
    <w:rsid w:val="002870B3"/>
    <w:rsid w:val="002919BE"/>
    <w:rsid w:val="002A5913"/>
    <w:rsid w:val="002B25BE"/>
    <w:rsid w:val="002B6C7E"/>
    <w:rsid w:val="002C7522"/>
    <w:rsid w:val="002D58A1"/>
    <w:rsid w:val="00313C58"/>
    <w:rsid w:val="00331A7F"/>
    <w:rsid w:val="00331E54"/>
    <w:rsid w:val="00337252"/>
    <w:rsid w:val="003567C4"/>
    <w:rsid w:val="00380C78"/>
    <w:rsid w:val="00396345"/>
    <w:rsid w:val="003C6D31"/>
    <w:rsid w:val="003D1B0F"/>
    <w:rsid w:val="003D2C41"/>
    <w:rsid w:val="003E53C0"/>
    <w:rsid w:val="004133A4"/>
    <w:rsid w:val="00417D51"/>
    <w:rsid w:val="00425F94"/>
    <w:rsid w:val="00433040"/>
    <w:rsid w:val="00445F14"/>
    <w:rsid w:val="004518B9"/>
    <w:rsid w:val="00476BAE"/>
    <w:rsid w:val="00481B87"/>
    <w:rsid w:val="00484DA2"/>
    <w:rsid w:val="00493ED8"/>
    <w:rsid w:val="00496968"/>
    <w:rsid w:val="00497F9B"/>
    <w:rsid w:val="004A3CEB"/>
    <w:rsid w:val="004D74B1"/>
    <w:rsid w:val="0050152B"/>
    <w:rsid w:val="005202C9"/>
    <w:rsid w:val="0054491F"/>
    <w:rsid w:val="00552925"/>
    <w:rsid w:val="00590074"/>
    <w:rsid w:val="005B2A5A"/>
    <w:rsid w:val="005C4208"/>
    <w:rsid w:val="005E756C"/>
    <w:rsid w:val="0063345A"/>
    <w:rsid w:val="0066524A"/>
    <w:rsid w:val="00692990"/>
    <w:rsid w:val="00694039"/>
    <w:rsid w:val="006A25C9"/>
    <w:rsid w:val="006B3342"/>
    <w:rsid w:val="006B5D30"/>
    <w:rsid w:val="006D0F4C"/>
    <w:rsid w:val="006F1164"/>
    <w:rsid w:val="006F34DA"/>
    <w:rsid w:val="006F529B"/>
    <w:rsid w:val="00715AF6"/>
    <w:rsid w:val="00731F0B"/>
    <w:rsid w:val="007511C9"/>
    <w:rsid w:val="00757368"/>
    <w:rsid w:val="00757A2B"/>
    <w:rsid w:val="00786F43"/>
    <w:rsid w:val="007A1496"/>
    <w:rsid w:val="007A7EA1"/>
    <w:rsid w:val="007B2A95"/>
    <w:rsid w:val="007C3D0F"/>
    <w:rsid w:val="007D58F3"/>
    <w:rsid w:val="007F123C"/>
    <w:rsid w:val="007F453E"/>
    <w:rsid w:val="00805FD3"/>
    <w:rsid w:val="00833E39"/>
    <w:rsid w:val="008365F6"/>
    <w:rsid w:val="008518F4"/>
    <w:rsid w:val="008648D8"/>
    <w:rsid w:val="008730C5"/>
    <w:rsid w:val="008860DF"/>
    <w:rsid w:val="008E3818"/>
    <w:rsid w:val="008E6472"/>
    <w:rsid w:val="008F5623"/>
    <w:rsid w:val="00917714"/>
    <w:rsid w:val="0094110D"/>
    <w:rsid w:val="00942A03"/>
    <w:rsid w:val="00946054"/>
    <w:rsid w:val="00956C61"/>
    <w:rsid w:val="0097173D"/>
    <w:rsid w:val="00976B3E"/>
    <w:rsid w:val="00985826"/>
    <w:rsid w:val="00987A10"/>
    <w:rsid w:val="0099068A"/>
    <w:rsid w:val="00992E30"/>
    <w:rsid w:val="009A26B1"/>
    <w:rsid w:val="009A439D"/>
    <w:rsid w:val="009B13C1"/>
    <w:rsid w:val="009C1123"/>
    <w:rsid w:val="009C3929"/>
    <w:rsid w:val="009D4906"/>
    <w:rsid w:val="00A10750"/>
    <w:rsid w:val="00A201F1"/>
    <w:rsid w:val="00A31359"/>
    <w:rsid w:val="00A447DF"/>
    <w:rsid w:val="00A458BC"/>
    <w:rsid w:val="00A45D59"/>
    <w:rsid w:val="00A519E0"/>
    <w:rsid w:val="00A5480F"/>
    <w:rsid w:val="00A6759E"/>
    <w:rsid w:val="00A81408"/>
    <w:rsid w:val="00A925A7"/>
    <w:rsid w:val="00AA507C"/>
    <w:rsid w:val="00AB1635"/>
    <w:rsid w:val="00AC6DB7"/>
    <w:rsid w:val="00AD0D3A"/>
    <w:rsid w:val="00AE653B"/>
    <w:rsid w:val="00AE6CEA"/>
    <w:rsid w:val="00AF5461"/>
    <w:rsid w:val="00AF5EA3"/>
    <w:rsid w:val="00B0224D"/>
    <w:rsid w:val="00B32819"/>
    <w:rsid w:val="00B346A0"/>
    <w:rsid w:val="00B35D22"/>
    <w:rsid w:val="00BB0EC7"/>
    <w:rsid w:val="00BB308A"/>
    <w:rsid w:val="00BC4B6D"/>
    <w:rsid w:val="00BD331D"/>
    <w:rsid w:val="00BE2033"/>
    <w:rsid w:val="00BE6119"/>
    <w:rsid w:val="00C0472D"/>
    <w:rsid w:val="00C427B5"/>
    <w:rsid w:val="00C56363"/>
    <w:rsid w:val="00C60938"/>
    <w:rsid w:val="00C6321A"/>
    <w:rsid w:val="00C63592"/>
    <w:rsid w:val="00C67118"/>
    <w:rsid w:val="00C7464A"/>
    <w:rsid w:val="00C75E1B"/>
    <w:rsid w:val="00CA5D57"/>
    <w:rsid w:val="00CB79B7"/>
    <w:rsid w:val="00CC54E2"/>
    <w:rsid w:val="00CD75F7"/>
    <w:rsid w:val="00D034BA"/>
    <w:rsid w:val="00D066AC"/>
    <w:rsid w:val="00D17E1F"/>
    <w:rsid w:val="00D3107A"/>
    <w:rsid w:val="00D72EFA"/>
    <w:rsid w:val="00D829C7"/>
    <w:rsid w:val="00DA2926"/>
    <w:rsid w:val="00DB4B7A"/>
    <w:rsid w:val="00DC23F9"/>
    <w:rsid w:val="00DC241D"/>
    <w:rsid w:val="00DE733A"/>
    <w:rsid w:val="00E03439"/>
    <w:rsid w:val="00E21D39"/>
    <w:rsid w:val="00E336E6"/>
    <w:rsid w:val="00E33FD0"/>
    <w:rsid w:val="00E426EF"/>
    <w:rsid w:val="00E45805"/>
    <w:rsid w:val="00E700A6"/>
    <w:rsid w:val="00E71F65"/>
    <w:rsid w:val="00E804CD"/>
    <w:rsid w:val="00EA4E84"/>
    <w:rsid w:val="00EB4C81"/>
    <w:rsid w:val="00ED68B7"/>
    <w:rsid w:val="00EE0A99"/>
    <w:rsid w:val="00F03737"/>
    <w:rsid w:val="00F265C1"/>
    <w:rsid w:val="00F3526C"/>
    <w:rsid w:val="00F36167"/>
    <w:rsid w:val="00F376BA"/>
    <w:rsid w:val="00F4091E"/>
    <w:rsid w:val="00F457F9"/>
    <w:rsid w:val="00F70392"/>
    <w:rsid w:val="00F71E50"/>
    <w:rsid w:val="00F91F5C"/>
    <w:rsid w:val="00FA3609"/>
    <w:rsid w:val="00FC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F529"/>
  <w15:docId w15:val="{7FE9DC8F-5F7E-4E28-995A-77B5CA43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3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A43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6D31"/>
    <w:pPr>
      <w:ind w:left="720"/>
      <w:contextualSpacing/>
    </w:pPr>
    <w:rPr>
      <w:lang w:eastAsia="sr-Latn-CS"/>
    </w:rPr>
  </w:style>
  <w:style w:type="character" w:customStyle="1" w:styleId="BodyTextChar1">
    <w:name w:val="Body Text Char1"/>
    <w:aliases w:val="Body Text Char Char Char,Body Text Char Char Char Char Char,Body Text Char Char Char Char Char Char Char Char Char,Body Text Char Char Char Char Char Char Char"/>
    <w:basedOn w:val="DefaultParagraphFont"/>
    <w:link w:val="BodyText"/>
    <w:semiHidden/>
    <w:locked/>
    <w:rsid w:val="0050152B"/>
    <w:rPr>
      <w:rFonts w:ascii="CG Times (W1)" w:eastAsia="Times New Roman" w:hAnsi="CG Times (W1)" w:cs="Times New Roman"/>
      <w:color w:val="000000"/>
      <w:sz w:val="26"/>
      <w:szCs w:val="20"/>
    </w:rPr>
  </w:style>
  <w:style w:type="paragraph" w:styleId="BodyText">
    <w:name w:val="Body Text"/>
    <w:aliases w:val="Body Text Char Char,Body Text Char Char Char Char,Body Text Char Char Char Char Char Char Char Char,Body Text Char Char Char Char Char Char"/>
    <w:link w:val="BodyTextChar1"/>
    <w:semiHidden/>
    <w:unhideWhenUsed/>
    <w:rsid w:val="0050152B"/>
    <w:pPr>
      <w:spacing w:after="0" w:line="240" w:lineRule="auto"/>
      <w:jc w:val="both"/>
    </w:pPr>
    <w:rPr>
      <w:rFonts w:ascii="CG Times (W1)" w:eastAsia="Times New Roman" w:hAnsi="CG Times (W1)" w:cs="Times New Roman"/>
      <w:color w:val="000000"/>
      <w:sz w:val="26"/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50152B"/>
  </w:style>
  <w:style w:type="paragraph" w:customStyle="1" w:styleId="Style2">
    <w:name w:val="Style2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 w:val="24"/>
      <w:szCs w:val="24"/>
    </w:rPr>
  </w:style>
  <w:style w:type="paragraph" w:customStyle="1" w:styleId="Style3">
    <w:name w:val="Style3"/>
    <w:basedOn w:val="Normal"/>
    <w:uiPriority w:val="99"/>
    <w:rsid w:val="0050152B"/>
    <w:pPr>
      <w:widowControl w:val="0"/>
      <w:autoSpaceDE w:val="0"/>
      <w:autoSpaceDN w:val="0"/>
      <w:adjustRightInd w:val="0"/>
      <w:spacing w:after="0" w:line="427" w:lineRule="exact"/>
      <w:jc w:val="both"/>
    </w:pPr>
    <w:rPr>
      <w:rFonts w:ascii="Lucida Sans Unicode" w:eastAsia="Times New Roman" w:hAnsi="Lucida Sans Unicode" w:cs="Lucida Sans Unicode"/>
      <w:sz w:val="24"/>
      <w:szCs w:val="24"/>
    </w:rPr>
  </w:style>
  <w:style w:type="character" w:customStyle="1" w:styleId="FontStyle12">
    <w:name w:val="Font Style12"/>
    <w:basedOn w:val="DefaultParagraphFont"/>
    <w:uiPriority w:val="99"/>
    <w:rsid w:val="0050152B"/>
    <w:rPr>
      <w:rFonts w:ascii="Lucida Sans Unicode" w:hAnsi="Lucida Sans Unicode" w:cs="Lucida Sans Unicode" w:hint="default"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757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C7E"/>
    <w:pPr>
      <w:spacing w:after="0" w:line="240" w:lineRule="auto"/>
    </w:pPr>
  </w:style>
  <w:style w:type="paragraph" w:customStyle="1" w:styleId="A">
    <w:name w:val="A"/>
    <w:uiPriority w:val="99"/>
    <w:rsid w:val="00F457F9"/>
    <w:pPr>
      <w:widowControl w:val="0"/>
      <w:autoSpaceDE w:val="0"/>
      <w:autoSpaceDN w:val="0"/>
      <w:adjustRightInd w:val="0"/>
      <w:spacing w:after="0" w:line="215" w:lineRule="atLeast"/>
    </w:pPr>
    <w:rPr>
      <w:rFonts w:ascii="Helvetica" w:hAnsi="Helvetica" w:cs="Helvetica"/>
      <w:sz w:val="19"/>
      <w:szCs w:val="19"/>
    </w:rPr>
  </w:style>
  <w:style w:type="paragraph" w:customStyle="1" w:styleId="C">
    <w:name w:val="C"/>
    <w:uiPriority w:val="99"/>
    <w:rsid w:val="00F457F9"/>
    <w:pPr>
      <w:widowControl w:val="0"/>
      <w:autoSpaceDE w:val="0"/>
      <w:autoSpaceDN w:val="0"/>
      <w:adjustRightInd w:val="0"/>
      <w:spacing w:after="0" w:line="215" w:lineRule="atLeast"/>
      <w:jc w:val="right"/>
    </w:pPr>
    <w:rPr>
      <w:rFonts w:ascii="Helvetica" w:hAnsi="Helvetica" w:cs="Helvetic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3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ovodkom@mts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dovodkom@mts.rs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dovodkom@mts.rs" TargetMode="External"/><Relationship Id="rId11" Type="http://schemas.openxmlformats.org/officeDocument/2006/relationships/hyperlink" Target="mailto:vodovodkom@mts.r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odovodkom@mts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dovodkom@mts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DA391-F25F-46BB-BD55-66DCCB95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3860</Words>
  <Characters>22008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2019-12-09T07:15:00Z</cp:lastPrinted>
  <dcterms:created xsi:type="dcterms:W3CDTF">2026-02-20T09:24:00Z</dcterms:created>
  <dcterms:modified xsi:type="dcterms:W3CDTF">2026-02-20T09:35:00Z</dcterms:modified>
</cp:coreProperties>
</file>